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360" w:after="120"/>
        <w:ind w:hanging="431"/>
        <w:jc w:val="center"/>
        <w:rPr>
          <w:rFonts w:cs="Cambria"/>
          <w:b/>
          <w:b/>
          <w:bCs/>
          <w:color w:val="365F91"/>
        </w:rPr>
      </w:pPr>
      <w:r>
        <w:rPr>
          <w:rFonts w:cs="Cambria"/>
          <w:b/>
          <w:bCs/>
          <w:color w:val="365F91"/>
        </w:rPr>
        <w:t>README file</w:t>
      </w:r>
    </w:p>
    <w:p>
      <w:pPr>
        <w:pStyle w:val="Normal"/>
        <w:widowControl w:val="false"/>
        <w:spacing w:lineRule="auto" w:line="276" w:before="0" w:after="240"/>
        <w:jc w:val="both"/>
        <w:rPr>
          <w:rFonts w:cs="Cambria"/>
        </w:rPr>
      </w:pPr>
      <w:r>
        <w:rPr>
          <w:rFonts w:cs="Cambria"/>
        </w:rPr>
        <w:t>Data Set 5 (Part B)</w:t>
      </w:r>
    </w:p>
    <w:p>
      <w:pPr>
        <w:pStyle w:val="Normal"/>
        <w:widowControl w:val="false"/>
        <w:spacing w:lineRule="auto" w:line="276" w:before="0" w:after="240"/>
        <w:jc w:val="both"/>
        <w:rPr>
          <w:rFonts w:cs="Cambria"/>
          <w:b/>
          <w:b/>
          <w:bCs/>
          <w:iCs/>
        </w:rPr>
      </w:pPr>
      <w:r>
        <w:rPr>
          <w:rFonts w:cs="Cambria"/>
        </w:rPr>
        <w:t>Title:</w:t>
      </w:r>
      <w:r>
        <w:rPr>
          <w:rFonts w:cs="Cambria"/>
          <w:b/>
          <w:bCs/>
        </w:rPr>
        <w:t xml:space="preserve"> “</w:t>
      </w:r>
      <w:r>
        <w:rPr>
          <w:rFonts w:cs="Cambria"/>
          <w:b/>
          <w:bCs/>
          <w:iCs/>
        </w:rPr>
        <w:t>PERCEIVE: WP2: Evaluation of EU citizens’ perception of the EU project: Key variables for citizens' identification with EU”</w:t>
      </w:r>
    </w:p>
    <w:p>
      <w:pPr>
        <w:pStyle w:val="Normal"/>
        <w:widowControl w:val="false"/>
        <w:spacing w:before="0" w:after="240"/>
        <w:contextualSpacing/>
        <w:jc w:val="both"/>
        <w:rPr>
          <w:rFonts w:cs="Cambria"/>
          <w:bCs/>
          <w:lang w:val="es-ES"/>
        </w:rPr>
      </w:pPr>
      <w:r>
        <w:rPr>
          <w:rFonts w:cs="Cambria"/>
          <w:lang w:val="es-ES"/>
        </w:rPr>
        <w:t>Data Set Author/s:</w:t>
      </w:r>
      <w:r>
        <w:rPr>
          <w:rFonts w:cs="Cambria"/>
          <w:b/>
          <w:bCs/>
          <w:lang w:val="es-ES"/>
        </w:rPr>
        <w:t xml:space="preserve"> </w:t>
      </w:r>
    </w:p>
    <w:p>
      <w:pPr>
        <w:pStyle w:val="Normal"/>
        <w:widowControl w:val="false"/>
        <w:spacing w:before="0" w:after="240"/>
        <w:contextualSpacing/>
        <w:jc w:val="both"/>
        <w:rPr>
          <w:rFonts w:cs="Cambria"/>
          <w:bCs/>
          <w:lang w:val="it-IT"/>
        </w:rPr>
      </w:pPr>
      <w:r>
        <w:rPr>
          <w:rFonts w:cs="Cambria"/>
          <w:b/>
          <w:bCs/>
          <w:lang w:val="it-IT"/>
        </w:rPr>
        <w:t xml:space="preserve">Pinuccia Calia </w:t>
      </w:r>
      <w:r>
        <w:rPr>
          <w:rFonts w:cs="Cambria"/>
          <w:bCs/>
          <w:lang w:val="it-IT"/>
        </w:rPr>
        <w:t xml:space="preserve">(Università di Bologna), ORCID 0000-0002-6638-4081; </w:t>
      </w:r>
    </w:p>
    <w:p>
      <w:pPr>
        <w:pStyle w:val="Normal"/>
        <w:widowControl w:val="false"/>
        <w:spacing w:before="0" w:after="240"/>
        <w:contextualSpacing/>
        <w:jc w:val="both"/>
        <w:rPr>
          <w:rFonts w:cs="Cambria"/>
          <w:bCs/>
          <w:lang w:val="es-ES"/>
        </w:rPr>
      </w:pPr>
      <w:r>
        <w:rPr>
          <w:rFonts w:cs="Cambria"/>
          <w:b/>
          <w:bCs/>
          <w:lang w:val="es-ES"/>
        </w:rPr>
        <w:t>Enrique López Bazo</w:t>
      </w:r>
      <w:r>
        <w:rPr>
          <w:rFonts w:cs="Cambria"/>
          <w:bCs/>
          <w:lang w:val="es-ES"/>
        </w:rPr>
        <w:t xml:space="preserve"> (Universitat de Barcelona) http://orcid.org/0000-0002-4654-8237 ;</w:t>
      </w:r>
    </w:p>
    <w:p>
      <w:pPr>
        <w:pStyle w:val="Normal"/>
        <w:widowControl w:val="false"/>
        <w:spacing w:before="0" w:after="240"/>
        <w:contextualSpacing/>
        <w:jc w:val="both"/>
        <w:rPr>
          <w:rFonts w:cs="Cambria"/>
          <w:bCs/>
          <w:lang w:val="it-IT"/>
        </w:rPr>
      </w:pPr>
      <w:r>
        <w:rPr>
          <w:rFonts w:cs="Cambria"/>
          <w:b/>
          <w:bCs/>
          <w:lang w:val="it-IT"/>
        </w:rPr>
        <w:t>Rosina Moreno Serrano</w:t>
      </w:r>
      <w:r>
        <w:rPr>
          <w:rFonts w:cs="Cambria"/>
          <w:bCs/>
          <w:lang w:val="it-IT"/>
        </w:rPr>
        <w:t xml:space="preserve"> (Universitat de Barcelona) ttp://orcid.org/0000-0002-3500-8622 ;</w:t>
      </w:r>
    </w:p>
    <w:p>
      <w:pPr>
        <w:pStyle w:val="Normal"/>
        <w:widowControl w:val="false"/>
        <w:spacing w:before="0" w:after="240"/>
        <w:contextualSpacing/>
        <w:jc w:val="both"/>
        <w:rPr>
          <w:rFonts w:cs="Cambria"/>
          <w:bCs/>
          <w:lang w:val="it-IT"/>
        </w:rPr>
      </w:pPr>
      <w:r>
        <w:rPr>
          <w:rFonts w:cs="Cambria"/>
          <w:b/>
          <w:bCs/>
          <w:lang w:val="it-IT"/>
        </w:rPr>
        <w:t>Vicente Royuela Mora</w:t>
      </w:r>
      <w:r>
        <w:rPr>
          <w:rFonts w:cs="Cambria"/>
          <w:bCs/>
          <w:lang w:val="it-IT"/>
        </w:rPr>
        <w:t>, (Universitat de Barcelona) http://orcid.org/0000-0002-7647-0063 ;</w:t>
      </w:r>
    </w:p>
    <w:p>
      <w:pPr>
        <w:pStyle w:val="Normal"/>
        <w:widowControl w:val="false"/>
        <w:spacing w:before="0" w:after="240"/>
        <w:contextualSpacing/>
        <w:jc w:val="both"/>
        <w:rPr>
          <w:rFonts w:cs="Cambria"/>
          <w:bCs/>
          <w:highlight w:val="yellow"/>
          <w:lang w:val="it-IT"/>
        </w:rPr>
      </w:pPr>
      <w:r>
        <w:rPr>
          <w:rFonts w:cs="Cambria"/>
          <w:b/>
          <w:bCs/>
          <w:lang w:val="it-IT"/>
        </w:rPr>
        <w:t>Jordi Suriñach Caralt</w:t>
      </w:r>
      <w:r>
        <w:rPr>
          <w:rFonts w:cs="Cambria"/>
          <w:bCs/>
          <w:lang w:val="it-IT"/>
        </w:rPr>
        <w:t xml:space="preserve">, (Universitat de Barcelona) http://orcid.org/0000-0003-2622-3280 </w:t>
      </w:r>
    </w:p>
    <w:p>
      <w:pPr>
        <w:pStyle w:val="Normal"/>
        <w:widowControl w:val="false"/>
        <w:spacing w:before="0" w:after="120"/>
        <w:jc w:val="both"/>
        <w:rPr>
          <w:rFonts w:cs="Cambria"/>
          <w:bCs/>
          <w:lang w:val="it-IT"/>
        </w:rPr>
      </w:pPr>
      <w:r>
        <w:rPr>
          <w:rFonts w:cs="Cambria"/>
          <w:bCs/>
          <w:lang w:val="it-IT"/>
        </w:rPr>
      </w:r>
    </w:p>
    <w:p>
      <w:pPr>
        <w:pStyle w:val="Normal"/>
        <w:widowControl w:val="false"/>
        <w:tabs>
          <w:tab w:val="left" w:pos="851" w:leader="none"/>
        </w:tabs>
        <w:spacing w:before="0" w:after="240"/>
        <w:contextualSpacing/>
        <w:jc w:val="both"/>
        <w:rPr>
          <w:rFonts w:cs="Cambria"/>
          <w:lang w:val="es-ES"/>
        </w:rPr>
      </w:pPr>
      <w:r>
        <w:rPr>
          <w:rFonts w:cs="Cambria"/>
          <w:lang w:val="es-ES"/>
        </w:rPr>
        <w:t>Data Set Contributor/s:</w:t>
      </w:r>
    </w:p>
    <w:p>
      <w:pPr>
        <w:pStyle w:val="Normal"/>
        <w:widowControl w:val="false"/>
        <w:spacing w:before="0" w:after="240"/>
        <w:contextualSpacing/>
        <w:jc w:val="both"/>
        <w:rPr>
          <w:rFonts w:cs="Cambria"/>
          <w:bCs/>
          <w:lang w:val="it-IT"/>
        </w:rPr>
      </w:pPr>
      <w:r>
        <w:rPr>
          <w:rFonts w:cs="Cambria"/>
          <w:b/>
          <w:bCs/>
          <w:lang w:val="it-IT"/>
        </w:rPr>
        <w:t>Enrique López Bazo</w:t>
      </w:r>
      <w:r>
        <w:rPr>
          <w:rFonts w:cs="Cambria"/>
          <w:bCs/>
          <w:lang w:val="it-IT"/>
        </w:rPr>
        <w:t xml:space="preserve"> (Universitat de Barcelona) http://orcid.org/0000-0002-4654-8237 ;</w:t>
      </w:r>
    </w:p>
    <w:p>
      <w:pPr>
        <w:pStyle w:val="Normal"/>
        <w:widowControl w:val="false"/>
        <w:tabs>
          <w:tab w:val="left" w:pos="851" w:leader="none"/>
        </w:tabs>
        <w:spacing w:before="0" w:after="240"/>
        <w:contextualSpacing/>
        <w:jc w:val="both"/>
        <w:rPr>
          <w:rFonts w:cs="Cambria"/>
          <w:bCs/>
          <w:lang w:val="it-IT"/>
        </w:rPr>
      </w:pPr>
      <w:r>
        <w:rPr>
          <w:rFonts w:cs="Cambria"/>
          <w:bCs/>
          <w:lang w:val="it-IT"/>
        </w:rPr>
      </w:r>
    </w:p>
    <w:p>
      <w:pPr>
        <w:pStyle w:val="Normal"/>
        <w:widowControl w:val="false"/>
        <w:tabs>
          <w:tab w:val="left" w:pos="851" w:leader="none"/>
        </w:tabs>
        <w:spacing w:before="0" w:after="240"/>
        <w:contextualSpacing/>
        <w:jc w:val="both"/>
        <w:rPr>
          <w:rFonts w:cs="Cambria"/>
          <w:bCs/>
          <w:lang w:val="it-IT"/>
        </w:rPr>
      </w:pPr>
      <w:r>
        <w:rPr>
          <w:rFonts w:cs="Cambria"/>
          <w:bCs/>
          <w:lang w:val="it-IT"/>
        </w:rPr>
        <w:t xml:space="preserve">Data Set Contact Person/s: </w:t>
      </w:r>
    </w:p>
    <w:p>
      <w:pPr>
        <w:pStyle w:val="Normal"/>
        <w:widowControl w:val="false"/>
        <w:spacing w:before="0" w:after="240"/>
        <w:contextualSpacing/>
        <w:jc w:val="both"/>
        <w:rPr/>
      </w:pPr>
      <w:r>
        <w:rPr>
          <w:rFonts w:cs="Cambria"/>
          <w:b/>
          <w:bCs/>
          <w:lang w:val="it-IT"/>
        </w:rPr>
        <w:t xml:space="preserve">Pinuccia Calia </w:t>
      </w:r>
      <w:r>
        <w:rPr>
          <w:rFonts w:cs="Cambria"/>
          <w:bCs/>
          <w:lang w:val="it-IT"/>
        </w:rPr>
        <w:t xml:space="preserve">(Università di Bologna), ORCID 0000-0002-6638-4081; </w:t>
      </w:r>
      <w:hyperlink r:id="rId2">
        <w:r>
          <w:rPr>
            <w:rStyle w:val="InternetLink"/>
            <w:rFonts w:cs="Cambria"/>
            <w:bCs/>
            <w:lang w:val="it-IT"/>
          </w:rPr>
          <w:t>pinuccia.calia@unibo.it</w:t>
        </w:r>
      </w:hyperlink>
      <w:r>
        <w:rPr>
          <w:rFonts w:cs="Cambria"/>
          <w:bCs/>
          <w:lang w:val="it-IT"/>
        </w:rPr>
        <w:t xml:space="preserve">; </w:t>
      </w:r>
    </w:p>
    <w:p>
      <w:pPr>
        <w:pStyle w:val="Normal"/>
        <w:widowControl w:val="false"/>
        <w:spacing w:before="0" w:after="240"/>
        <w:contextualSpacing/>
        <w:jc w:val="both"/>
        <w:rPr/>
      </w:pPr>
      <w:r>
        <w:rPr>
          <w:rFonts w:cs="Cambria"/>
          <w:b/>
          <w:bCs/>
          <w:lang w:val="it-IT"/>
        </w:rPr>
        <w:t>Vicente Royuela Mora</w:t>
      </w:r>
      <w:r>
        <w:rPr>
          <w:rFonts w:cs="Cambria"/>
          <w:bCs/>
          <w:lang w:val="it-IT"/>
        </w:rPr>
        <w:t xml:space="preserve">, (Universitat de Barcelona) http://orcid.org/0000-0002-7647-0063 ; </w:t>
      </w:r>
      <w:hyperlink r:id="rId3">
        <w:r>
          <w:rPr>
            <w:rStyle w:val="InternetLink"/>
            <w:rFonts w:cs="Cambria"/>
            <w:bCs/>
            <w:lang w:val="it-IT"/>
          </w:rPr>
          <w:t>vroyuela@ub.edu</w:t>
        </w:r>
      </w:hyperlink>
      <w:r>
        <w:rPr>
          <w:rFonts w:cs="Cambria"/>
          <w:bCs/>
          <w:lang w:val="it-IT"/>
        </w:rPr>
        <w:t xml:space="preserve"> ;</w:t>
      </w:r>
    </w:p>
    <w:p>
      <w:pPr>
        <w:pStyle w:val="Normal"/>
        <w:widowControl w:val="false"/>
        <w:spacing w:lineRule="auto" w:line="276" w:before="0" w:after="240"/>
        <w:jc w:val="both"/>
        <w:rPr>
          <w:rFonts w:cs="Cambria"/>
          <w:b/>
          <w:b/>
          <w:bCs/>
          <w:color w:val="808080" w:themeColor="background1" w:themeShade="80"/>
          <w:sz w:val="18"/>
          <w:lang w:val="es-ES"/>
        </w:rPr>
      </w:pPr>
      <w:r>
        <w:rPr>
          <w:rFonts w:cs="Cambria"/>
          <w:b/>
          <w:bCs/>
          <w:color w:val="808080" w:themeColor="background1" w:themeShade="80"/>
          <w:sz w:val="18"/>
          <w:lang w:val="es-ES"/>
        </w:rPr>
      </w:r>
    </w:p>
    <w:p>
      <w:pPr>
        <w:pStyle w:val="Normal"/>
        <w:widowControl w:val="false"/>
        <w:tabs>
          <w:tab w:val="left" w:pos="851" w:leader="none"/>
        </w:tabs>
        <w:spacing w:lineRule="auto" w:line="276" w:before="0" w:after="240"/>
        <w:jc w:val="both"/>
        <w:rPr>
          <w:rFonts w:cs="Cambria"/>
          <w:bCs/>
          <w:color w:val="FF0000"/>
        </w:rPr>
      </w:pPr>
      <w:r>
        <w:rPr>
          <w:rFonts w:cs="Cambria"/>
          <w:bCs/>
        </w:rPr>
        <w:t>License: this data is distributed under a</w:t>
      </w:r>
      <w:r>
        <w:rPr/>
        <w:t xml:space="preserve"> </w:t>
      </w:r>
      <w:r>
        <w:rPr>
          <w:rFonts w:cs="Cambria"/>
          <w:bCs/>
        </w:rPr>
        <w:t>Creative Commons Attribution 4.0 International (</w:t>
      </w:r>
      <w:r>
        <w:rPr>
          <w:rFonts w:cs="Cambria"/>
          <w:b/>
          <w:bCs/>
        </w:rPr>
        <w:t>CC BY 4.0</w:t>
      </w:r>
      <w:r>
        <w:rPr>
          <w:rFonts w:cs="Cambria"/>
          <w:bCs/>
        </w:rPr>
        <w:t>)</w:t>
      </w:r>
      <w:r>
        <w:rPr>
          <w:rFonts w:cs="Cambria"/>
          <w:b/>
          <w:bCs/>
        </w:rPr>
        <w:t xml:space="preserve"> license</w:t>
      </w:r>
      <w:r>
        <w:rPr>
          <w:rFonts w:cs="Cambria"/>
          <w:bCs/>
        </w:rPr>
        <w:t>, https://creativecommons.org/licenses/by/4.0/</w:t>
      </w:r>
      <w:r>
        <w:rPr>
          <w:rFonts w:cs="Cambria"/>
          <w:b/>
          <w:bCs/>
        </w:rPr>
        <w:t>.</w:t>
      </w:r>
      <w:r>
        <w:rPr>
          <w:rFonts w:cs="Cambria"/>
          <w:bCs/>
          <w:color w:val="FF0000"/>
        </w:rPr>
        <w:t xml:space="preserve"> </w:t>
      </w:r>
    </w:p>
    <w:p>
      <w:pPr>
        <w:pStyle w:val="Normal"/>
        <w:widowControl w:val="false"/>
        <w:tabs>
          <w:tab w:val="left" w:pos="851" w:leader="none"/>
        </w:tabs>
        <w:spacing w:lineRule="auto" w:line="276" w:before="0" w:after="240"/>
        <w:jc w:val="both"/>
        <w:rPr/>
      </w:pPr>
      <w:r>
        <w:rPr>
          <w:rFonts w:cs="Cambria"/>
          <w:bCs/>
        </w:rPr>
        <w:t xml:space="preserve">Publication Year: </w:t>
      </w:r>
      <w:r>
        <w:rPr>
          <w:rFonts w:cs="Cambria"/>
          <w:b/>
          <w:bCs/>
        </w:rPr>
        <w:t>2019</w:t>
      </w:r>
    </w:p>
    <w:p>
      <w:pPr>
        <w:pStyle w:val="Normal"/>
        <w:widowControl w:val="false"/>
        <w:tabs>
          <w:tab w:val="left" w:pos="851" w:leader="none"/>
        </w:tabs>
        <w:spacing w:lineRule="auto" w:line="276" w:before="0" w:after="240"/>
        <w:jc w:val="both"/>
        <w:rPr/>
      </w:pPr>
      <w:r>
        <w:rPr>
          <w:rFonts w:cs="Cambria"/>
          <w:b/>
          <w:bCs/>
        </w:rPr>
        <w:t>Access Embargoed Until 2023</w:t>
      </w:r>
    </w:p>
    <w:p>
      <w:pPr>
        <w:pStyle w:val="Normal"/>
        <w:widowControl w:val="false"/>
        <w:spacing w:lineRule="auto" w:line="276" w:before="0" w:after="480"/>
        <w:jc w:val="both"/>
        <w:rPr/>
      </w:pPr>
      <w:r>
        <w:rPr>
          <w:rFonts w:cs="TimesNewRomanPSMT"/>
        </w:rPr>
        <w:t xml:space="preserve">Project Info: </w:t>
      </w:r>
      <w:r>
        <w:rPr>
          <w:rFonts w:cs="TimesNewRomanPSMT"/>
          <w:b/>
        </w:rPr>
        <w:t xml:space="preserve">PERCEIVE (Perception and Evaluation of Regional and Cohesion Policies by Europeans and Identification with the Values of Europe), </w:t>
      </w:r>
      <w:r>
        <w:rPr>
          <w:rFonts w:cs="TimesNewRomanPSMT"/>
        </w:rPr>
        <w:t>funded by European Union, Horizon 2020 Programme. Grant Agreement num.</w:t>
      </w:r>
      <w:r>
        <w:rPr>
          <w:rFonts w:cs="TimesNewRomanPSMT"/>
          <w:b/>
        </w:rPr>
        <w:t xml:space="preserve"> 693529</w:t>
      </w:r>
      <w:r>
        <w:rPr>
          <w:rFonts w:cs="TimesNewRomanPSMT"/>
        </w:rPr>
        <w:t>;</w:t>
      </w:r>
      <w:r>
        <w:rPr>
          <w:rFonts w:cs="TimesNewRomanPSMT"/>
          <w:b/>
        </w:rPr>
        <w:t xml:space="preserve"> https://www.perceiveproject.eu/</w:t>
      </w:r>
      <w:r>
        <w:rPr>
          <w:rFonts w:cs="TimesNewRomanPSMT"/>
        </w:rPr>
        <w:t xml:space="preserve">.  </w:t>
      </w:r>
    </w:p>
    <w:p>
      <w:pPr>
        <w:pStyle w:val="Normal"/>
        <w:widowControl w:val="false"/>
        <w:spacing w:before="360" w:after="0"/>
        <w:ind w:left="431" w:hanging="431"/>
        <w:jc w:val="center"/>
        <w:rPr>
          <w:rFonts w:cs="Cambria"/>
          <w:b/>
          <w:b/>
          <w:bCs/>
          <w:color w:val="365F91"/>
        </w:rPr>
      </w:pPr>
      <w:r>
        <w:rPr>
          <w:rFonts w:cs="Cambria"/>
          <w:b/>
          <w:bCs/>
          <w:color w:val="365F91"/>
        </w:rPr>
      </w:r>
    </w:p>
    <w:p>
      <w:pPr>
        <w:pStyle w:val="Normal"/>
        <w:widowControl w:val="false"/>
        <w:spacing w:before="360" w:after="0"/>
        <w:ind w:left="431" w:hanging="431"/>
        <w:jc w:val="center"/>
        <w:rPr>
          <w:rFonts w:cs="Cambria"/>
          <w:b/>
          <w:b/>
          <w:bCs/>
          <w:color w:val="365F91"/>
        </w:rPr>
      </w:pPr>
      <w:r>
        <w:rPr>
          <w:rFonts w:cs="Cambria"/>
          <w:b/>
          <w:bCs/>
          <w:color w:val="365F91"/>
        </w:rPr>
      </w:r>
    </w:p>
    <w:p>
      <w:pPr>
        <w:pStyle w:val="Normal"/>
        <w:widowControl w:val="false"/>
        <w:spacing w:before="360" w:after="0"/>
        <w:ind w:left="431" w:hanging="431"/>
        <w:jc w:val="center"/>
        <w:rPr>
          <w:rFonts w:cs="Cambria"/>
          <w:b/>
          <w:b/>
          <w:bCs/>
          <w:color w:val="365F91"/>
        </w:rPr>
      </w:pPr>
      <w:r>
        <w:rPr>
          <w:rFonts w:cs="Cambria"/>
          <w:b/>
          <w:bCs/>
          <w:color w:val="365F91"/>
        </w:rPr>
      </w:r>
    </w:p>
    <w:p>
      <w:pPr>
        <w:pStyle w:val="Normal"/>
        <w:widowControl w:val="false"/>
        <w:spacing w:before="360" w:after="0"/>
        <w:ind w:left="431" w:hanging="431"/>
        <w:jc w:val="center"/>
        <w:rPr>
          <w:rFonts w:cs="Cambria"/>
          <w:b/>
          <w:b/>
          <w:bCs/>
          <w:color w:val="365F91"/>
        </w:rPr>
      </w:pPr>
      <w:r>
        <w:rPr/>
      </w:r>
    </w:p>
    <w:p>
      <w:pPr>
        <w:pStyle w:val="Normal"/>
        <w:widowControl w:val="false"/>
        <w:spacing w:before="360" w:after="0"/>
        <w:ind w:left="431" w:hanging="431"/>
        <w:jc w:val="center"/>
        <w:rPr>
          <w:rFonts w:cs="Cambria"/>
          <w:b/>
          <w:b/>
          <w:bCs/>
          <w:color w:val="365F91"/>
        </w:rPr>
      </w:pPr>
      <w:r>
        <w:rPr>
          <w:rFonts w:cs="Cambria"/>
          <w:b/>
          <w:bCs/>
          <w:color w:val="365F91"/>
        </w:rPr>
        <w:t>Data set Contents</w:t>
      </w:r>
    </w:p>
    <w:p>
      <w:pPr>
        <w:pStyle w:val="Normal"/>
        <w:widowControl w:val="false"/>
        <w:jc w:val="both"/>
        <w:rPr>
          <w:rFonts w:cs="TimesNewRomanPSMT"/>
        </w:rPr>
      </w:pPr>
      <w:r>
        <w:rPr>
          <w:rFonts w:cs="TimesNewRomanPSMT"/>
        </w:rPr>
      </w:r>
    </w:p>
    <w:p>
      <w:pPr>
        <w:pStyle w:val="Normal"/>
        <w:widowControl w:val="false"/>
        <w:jc w:val="both"/>
        <w:rPr>
          <w:rFonts w:cs="TimesNewRomanPSMT"/>
        </w:rPr>
      </w:pPr>
      <w:r>
        <w:rPr>
          <w:rFonts w:cs="TimesNewRomanPSMT"/>
        </w:rPr>
        <w:t>The data set consists of:</w:t>
      </w:r>
    </w:p>
    <w:p>
      <w:pPr>
        <w:pStyle w:val="Normal"/>
        <w:widowControl w:val="false"/>
        <w:spacing w:lineRule="auto" w:line="276"/>
        <w:jc w:val="both"/>
        <w:rPr/>
      </w:pPr>
      <w:r>
        <w:rPr/>
      </w:r>
    </w:p>
    <w:p>
      <w:pPr>
        <w:pStyle w:val="ListParagraph"/>
        <w:widowControl w:val="false"/>
        <w:numPr>
          <w:ilvl w:val="0"/>
          <w:numId w:val="2"/>
        </w:numPr>
        <w:suppressAutoHyphens w:val="true"/>
        <w:spacing w:lineRule="auto" w:line="276" w:before="0" w:after="0"/>
        <w:jc w:val="both"/>
        <w:textAlignment w:val="baseline"/>
        <w:rPr/>
      </w:pPr>
      <w:r>
        <w:rPr>
          <w:rFonts w:cs="TimesNewRomanPSMT"/>
        </w:rPr>
        <w:t>6  quantitative file(s) saved in .csv format</w:t>
      </w:r>
      <w:r>
        <w:rPr/>
        <w:t xml:space="preserve"> </w:t>
      </w:r>
    </w:p>
    <w:p>
      <w:pPr>
        <w:pStyle w:val="Normal"/>
        <w:widowControl w:val="false"/>
        <w:spacing w:lineRule="auto" w:line="276"/>
        <w:jc w:val="both"/>
        <w:rPr>
          <w:lang w:val="en-GB"/>
        </w:rPr>
      </w:pPr>
      <w:r>
        <w:rPr>
          <w:lang w:val="en-GB"/>
        </w:rPr>
        <w:t>PERCEIVE_WP2_D2_5_sect3_disparities_country.csv</w:t>
      </w:r>
    </w:p>
    <w:p>
      <w:pPr>
        <w:pStyle w:val="Normal"/>
        <w:widowControl w:val="false"/>
        <w:spacing w:lineRule="auto" w:line="276"/>
        <w:jc w:val="both"/>
        <w:rPr>
          <w:lang w:val="en-GB"/>
        </w:rPr>
      </w:pPr>
      <w:r>
        <w:rPr>
          <w:lang w:val="en-GB"/>
        </w:rPr>
        <w:t>PERCEIVE_WP2_D2_5_sect3_disparities_region.csv</w:t>
      </w:r>
    </w:p>
    <w:p>
      <w:pPr>
        <w:pStyle w:val="Normal"/>
        <w:widowControl w:val="false"/>
        <w:spacing w:lineRule="auto" w:line="276"/>
        <w:jc w:val="both"/>
        <w:rPr>
          <w:lang w:val="en-GB"/>
        </w:rPr>
      </w:pPr>
      <w:r>
        <w:rPr>
          <w:lang w:val="en-GB"/>
        </w:rPr>
        <w:t>PERCEIVE_WP2_D2_5_sect4_PerceptionEU&amp;CPinregion_region.csv</w:t>
      </w:r>
    </w:p>
    <w:p>
      <w:pPr>
        <w:pStyle w:val="Normal"/>
        <w:widowControl w:val="false"/>
        <w:spacing w:lineRule="auto" w:line="276"/>
        <w:jc w:val="both"/>
        <w:rPr>
          <w:lang w:val="en-GB"/>
        </w:rPr>
      </w:pPr>
      <w:r>
        <w:rPr>
          <w:lang w:val="en-GB"/>
        </w:rPr>
        <w:t>PERCEIVE_WP2_D2_5_sect4_PerceptionEU&amp;absorption_region.csv</w:t>
      </w:r>
    </w:p>
    <w:p>
      <w:pPr>
        <w:pStyle w:val="Normal"/>
        <w:widowControl w:val="false"/>
        <w:spacing w:lineRule="auto" w:line="276"/>
        <w:jc w:val="both"/>
        <w:rPr>
          <w:lang w:val="en-GB"/>
        </w:rPr>
      </w:pPr>
      <w:r>
        <w:rPr>
          <w:lang w:val="en-GB"/>
        </w:rPr>
        <w:t>PERCEIVE_WP2_D2_5_sect5_RegGrowthConv_CP_region.csv</w:t>
      </w:r>
    </w:p>
    <w:p>
      <w:pPr>
        <w:pStyle w:val="Normal"/>
        <w:widowControl w:val="false"/>
        <w:spacing w:lineRule="auto" w:line="276"/>
        <w:jc w:val="both"/>
        <w:rPr>
          <w:lang w:val="en-GB"/>
        </w:rPr>
      </w:pPr>
      <w:r>
        <w:rPr>
          <w:lang w:val="en-GB"/>
        </w:rPr>
        <w:t>PERCEIVE_WP2_D2_5_sect5_RegGrowthConv_PerceptionEU_region.csv</w:t>
      </w:r>
    </w:p>
    <w:p>
      <w:pPr>
        <w:pStyle w:val="Normal"/>
        <w:widowControl w:val="false"/>
        <w:spacing w:lineRule="auto" w:line="276"/>
        <w:jc w:val="both"/>
        <w:rPr>
          <w:b/>
          <w:b/>
          <w:lang w:val="ca-ES"/>
        </w:rPr>
      </w:pPr>
      <w:r>
        <w:rPr>
          <w:b/>
          <w:lang w:val="ca-ES"/>
        </w:rPr>
      </w:r>
    </w:p>
    <w:p>
      <w:pPr>
        <w:pStyle w:val="ListParagraph"/>
        <w:widowControl w:val="false"/>
        <w:numPr>
          <w:ilvl w:val="0"/>
          <w:numId w:val="2"/>
        </w:numPr>
        <w:suppressAutoHyphens w:val="true"/>
        <w:spacing w:lineRule="auto" w:line="276" w:before="0" w:after="0"/>
        <w:jc w:val="both"/>
        <w:textAlignment w:val="baseline"/>
        <w:rPr/>
      </w:pPr>
      <w:r>
        <w:rPr>
          <w:rFonts w:cs="TimesNewRomanPSMT"/>
        </w:rPr>
        <w:t>1 README files saved in .rtf format</w:t>
      </w:r>
      <w:r>
        <w:rPr/>
        <w:t xml:space="preserve"> </w:t>
      </w:r>
    </w:p>
    <w:p>
      <w:pPr>
        <w:pStyle w:val="ListParagraph"/>
        <w:widowControl w:val="false"/>
        <w:suppressAutoHyphens w:val="true"/>
        <w:spacing w:lineRule="auto" w:line="276" w:before="0" w:after="0"/>
        <w:ind w:left="360" w:hanging="0"/>
        <w:jc w:val="both"/>
        <w:textAlignment w:val="baseline"/>
        <w:rPr/>
      </w:pPr>
      <w:r>
        <w:rPr/>
      </w:r>
    </w:p>
    <w:p>
      <w:pPr>
        <w:pStyle w:val="Normal"/>
        <w:widowControl w:val="false"/>
        <w:spacing w:lineRule="auto" w:line="276" w:before="0" w:after="200"/>
        <w:jc w:val="both"/>
        <w:rPr>
          <w:rFonts w:cs="TimesNewRomanPSMT"/>
        </w:rPr>
      </w:pPr>
      <w:r>
        <w:rPr>
          <w:lang w:val="en-GB"/>
        </w:rPr>
        <w:t>PERCEIVE_WP2_D2_5_sections3_4&amp;5_README.rtf</w:t>
      </w:r>
    </w:p>
    <w:p>
      <w:pPr>
        <w:pStyle w:val="Normal"/>
        <w:widowControl w:val="false"/>
        <w:spacing w:lineRule="auto" w:line="276"/>
        <w:jc w:val="both"/>
        <w:rPr>
          <w:lang w:val="en-GB"/>
        </w:rPr>
      </w:pPr>
      <w:r>
        <w:rPr>
          <w:lang w:val="en-GB"/>
        </w:rPr>
      </w:r>
    </w:p>
    <w:p>
      <w:pPr>
        <w:pStyle w:val="Normal"/>
        <w:widowControl w:val="false"/>
        <w:spacing w:before="360" w:after="0"/>
        <w:ind w:left="431" w:hanging="431"/>
        <w:jc w:val="center"/>
        <w:rPr/>
      </w:pPr>
      <w:r>
        <w:rPr>
          <w:rFonts w:cs="Cambria"/>
          <w:b/>
          <w:bCs/>
          <w:color w:val="365F91"/>
        </w:rPr>
        <w:t>Data set Documentation</w:t>
      </w:r>
    </w:p>
    <w:p>
      <w:pPr>
        <w:pStyle w:val="Subtitle"/>
        <w:rPr>
          <w:rFonts w:ascii="Calibri" w:hAnsi="Calibri" w:asciiTheme="minorHAnsi" w:hAnsiTheme="minorHAnsi"/>
          <w:lang w:val="en-US"/>
        </w:rPr>
      </w:pPr>
      <w:r>
        <w:rPr>
          <w:rFonts w:asciiTheme="minorHAnsi" w:hAnsiTheme="minorHAnsi" w:ascii="Calibri" w:hAnsi="Calibri"/>
          <w:lang w:val="en-US"/>
        </w:rPr>
      </w:r>
    </w:p>
    <w:p>
      <w:pPr>
        <w:pStyle w:val="Subtitle"/>
        <w:rPr>
          <w:rFonts w:ascii="Calibri" w:hAnsi="Calibri" w:asciiTheme="minorHAnsi" w:hAnsiTheme="minorHAnsi"/>
          <w:lang w:val="en-US"/>
        </w:rPr>
      </w:pPr>
      <w:r>
        <w:rPr>
          <w:rFonts w:ascii="Calibri" w:hAnsi="Calibri" w:asciiTheme="minorHAnsi" w:hAnsiTheme="minorHAnsi"/>
          <w:lang w:val="en-US"/>
        </w:rPr>
        <w:t>Abstract</w:t>
      </w:r>
    </w:p>
    <w:p>
      <w:pPr>
        <w:pStyle w:val="Normal"/>
        <w:rPr/>
      </w:pPr>
      <w:r>
        <w:rPr/>
        <w:t xml:space="preserve">This dataset refers to PERCEIVE task 2.5. This task analyzes the data sets developed by PERCEIVE task 2.1 in order to identify, quantify and synthetize the most important variables to asses identification with EU by citizens. The results feed an update of the data set developed in task 2.1. Finally, these data is be used to model convergence of EU citizens' identification in the case study regions. </w:t>
      </w:r>
    </w:p>
    <w:p>
      <w:pPr>
        <w:pStyle w:val="Normal"/>
        <w:rPr/>
      </w:pPr>
      <w:r>
        <w:rPr/>
      </w:r>
    </w:p>
    <w:p>
      <w:pPr>
        <w:pStyle w:val="Normal"/>
        <w:rPr/>
      </w:pPr>
      <w:r>
        <w:rPr/>
        <w:t>Data consists of the quantitative statistical information used to produce all the results of section 3 to 5 of deliverable 2.5 of WP2 and the indicators regarding the variables of interest obtained by means of different statistical techniques.</w:t>
      </w:r>
    </w:p>
    <w:p>
      <w:pPr>
        <w:pStyle w:val="Normal"/>
        <w:rPr/>
      </w:pPr>
      <w:r>
        <w:rPr/>
      </w:r>
    </w:p>
    <w:p>
      <w:pPr>
        <w:pStyle w:val="Normal"/>
        <w:rPr/>
      </w:pPr>
      <w:r>
        <w:rPr/>
        <w:t xml:space="preserve">This data set is be used to evaluate the EU citizens’ perception of the EU project in relation to regional performance of the cohesion policy and institutional quality. </w:t>
      </w:r>
    </w:p>
    <w:p>
      <w:pPr>
        <w:pStyle w:val="Normal"/>
        <w:rPr/>
      </w:pPr>
      <w:r>
        <w:rPr/>
      </w:r>
    </w:p>
    <w:p>
      <w:pPr>
        <w:pStyle w:val="Normal"/>
        <w:rPr/>
      </w:pPr>
      <w:r>
        <w:rPr/>
        <w:t>WP2 uses primary data from the survey developed in WP1 (</w:t>
      </w:r>
      <w:r>
        <w:rPr>
          <w:i/>
        </w:rPr>
        <w:t>“PERCEIVE: WP1: Framework for comparative analysis of the perception of Cohesion Policy and identification with the European Union at citizen level in different European countries: Task1.3: Survey at citizen level”</w:t>
      </w:r>
      <w:r>
        <w:rPr/>
        <w:t xml:space="preserve"> data set) and also comparative case studies on EU countries and regions, coming also from WP1 (</w:t>
      </w:r>
      <w:r>
        <w:rPr>
          <w:i/>
        </w:rPr>
        <w:t xml:space="preserve">”PERCEIVE: </w:t>
      </w:r>
    </w:p>
    <w:p>
      <w:pPr>
        <w:pStyle w:val="Normal"/>
        <w:rPr>
          <w:i/>
          <w:i/>
        </w:rPr>
      </w:pPr>
      <w:r>
        <w:rPr/>
      </w:r>
    </w:p>
    <w:p>
      <w:pPr>
        <w:pStyle w:val="Normal"/>
        <w:rPr/>
      </w:pPr>
      <w:r>
        <w:rPr>
          <w:i/>
        </w:rPr>
        <w:t>WP1: Framework for comparative analysis of the perception of Cohesion Policy and identification with the European Union at citizen level in different European countries: Task1.1: The framework for the comparative analysis”</w:t>
      </w:r>
      <w:r>
        <w:rPr/>
        <w:t xml:space="preserve"> and </w:t>
      </w:r>
      <w:r>
        <w:rPr>
          <w:i/>
        </w:rPr>
        <w:t>”PERCEIVE: WP1: Framework for comparative analysis of the perception of Cohesion Policy and identification with the European Union at citizen level in different European countries: Task1.2:  Focus group with Cohesion Policy practitioners” data sets</w:t>
      </w:r>
      <w:r>
        <w:rPr/>
        <w:t xml:space="preserve">). The data set incorporates data from existing sources including Eurostat and information resulting from the Survey conducted at WP1 of the PERCEIVE’s project. As regards secondary data, no additional treatment is needed. Info about the sources of such data, including references to technical details, is provided in the dataset's codebook.  </w:t>
      </w:r>
    </w:p>
    <w:p>
      <w:pPr>
        <w:pStyle w:val="Normal"/>
        <w:widowControl w:val="false"/>
        <w:spacing w:before="120" w:after="120"/>
        <w:jc w:val="both"/>
        <w:rPr/>
      </w:pPr>
      <w:r>
        <w:rPr/>
      </w:r>
    </w:p>
    <w:p>
      <w:pPr>
        <w:pStyle w:val="Normal"/>
        <w:widowControl w:val="false"/>
        <w:spacing w:before="120" w:after="120"/>
        <w:jc w:val="both"/>
        <w:rPr>
          <w:rFonts w:cs="TimesNewRomanPSMT"/>
        </w:rPr>
      </w:pPr>
      <w:r>
        <w:rPr>
          <w:rFonts w:cs="TimesNewRomanPSMT"/>
        </w:rPr>
        <w:t xml:space="preserve">Content of the files: </w:t>
      </w:r>
    </w:p>
    <w:p>
      <w:pPr>
        <w:pStyle w:val="Normal"/>
        <w:widowControl w:val="false"/>
        <w:jc w:val="both"/>
        <w:rPr>
          <w:rFonts w:cs="TimesNewRomanPSMT"/>
        </w:rPr>
      </w:pPr>
      <w:r>
        <w:rPr>
          <w:rFonts w:cs="TimesNewRomanPSMT"/>
        </w:rPr>
      </w:r>
    </w:p>
    <w:p>
      <w:pPr>
        <w:pStyle w:val="ListParagraph"/>
        <w:rPr>
          <w:rFonts w:cs="TimesNewRomanPSMT"/>
        </w:rPr>
      </w:pPr>
      <w:r>
        <w:rPr>
          <w:rFonts w:cs="TimesNewRomanPSMT"/>
        </w:rPr>
      </w:r>
    </w:p>
    <w:p>
      <w:pPr>
        <w:pStyle w:val="ListParagraph"/>
        <w:widowControl w:val="false"/>
        <w:numPr>
          <w:ilvl w:val="0"/>
          <w:numId w:val="1"/>
        </w:numPr>
        <w:spacing w:lineRule="auto" w:line="276" w:before="0" w:after="200"/>
        <w:jc w:val="both"/>
        <w:rPr>
          <w:rFonts w:cs="TimesNewRomanPSMT"/>
        </w:rPr>
      </w:pPr>
      <w:r>
        <w:rPr>
          <w:rFonts w:cs="TimesNewRomanPSMT"/>
        </w:rPr>
        <w:t xml:space="preserve">File </w:t>
      </w:r>
      <w:r>
        <w:rPr>
          <w:rFonts w:cs="TimesNewRomanPSMT"/>
          <w:b/>
        </w:rPr>
        <w:t xml:space="preserve"> PERCEIVE_WP2_D2_5_sections3_4&amp;5_README.rtf</w:t>
      </w:r>
      <w:r>
        <w:rPr>
          <w:rFonts w:cs="TimesNewRomanPSMT"/>
        </w:rPr>
        <w:t xml:space="preserve"> corresponds to the data in the CSV files PERCEIVE_WP2_D2_5_sect3_disparities_country.csv;PERCEIVE_WP2_D2_5_sect3_disparities_region.csv;PERCEIVE_WP2_D2_5_sect4_PerceptionEU&amp;CPinregion_region.csv;PERCEIVE_WP2_D2_5_sect4_PerceptionEU&amp;absorption_region.csv;PERCEIVE_WP2_D2_5_sect5_RegGrowthConv_CP_region.csv;PERCEIVE_WP2_D2_5_sect5_RegGrowthConv_PerceptionEU_region.csv. This data subset is used to develop sections 3, 4 and 5 of deliverable 2.5. In particular, section 3 computes several regional indicators of the citizens’ perception of the EU, distinguishing between support for the EU project and citizens’ attitudes towards the EU. It describes disparities between countries and regions in these indicators, and discusses its evolution from 2000 to 2016. Section 4 reports and discusses the results of the impact of the Cohesion Policy in the region on the citizens’ perception of the EU. It takes into consideration both the intensity of the policy and the effectiveness in its implementation. To do so, it uses the measures computed in sections 2 and 3. Section 5 focuses on the impact of Cohesion Policy on regional growth, and whether growth and convergence eventually influence the degree of support for Europe and attitudes towards the EU. It uses the indicators of perception computed in section 3 and the methodological framework designed in section 4.</w:t>
      </w:r>
    </w:p>
    <w:p>
      <w:pPr>
        <w:pStyle w:val="Normal"/>
        <w:widowControl w:val="false"/>
        <w:jc w:val="both"/>
        <w:rPr>
          <w:rFonts w:cs="TimesNewRomanPSMT"/>
        </w:rPr>
      </w:pPr>
      <w:r>
        <w:rPr>
          <w:rFonts w:cs="TimesNewRomanPSMT"/>
        </w:rPr>
      </w:r>
    </w:p>
    <w:p>
      <w:pPr>
        <w:pStyle w:val="Normal"/>
        <w:widowControl w:val="false"/>
        <w:jc w:val="both"/>
        <w:rPr>
          <w:rFonts w:cs="TimesNewRomanPSMT"/>
        </w:rPr>
      </w:pPr>
      <w:r>
        <w:rPr>
          <w:rFonts w:cs="TimesNewRomanPSMT"/>
        </w:rPr>
      </w:r>
    </w:p>
    <w:p>
      <w:pPr>
        <w:pStyle w:val="Subtitle"/>
        <w:rPr>
          <w:rFonts w:ascii="Calibri" w:hAnsi="Calibri" w:asciiTheme="minorHAnsi" w:hAnsiTheme="minorHAnsi"/>
          <w:lang w:val="en-US"/>
        </w:rPr>
      </w:pPr>
      <w:r>
        <w:rPr/>
      </w:r>
    </w:p>
    <w:p>
      <w:pPr>
        <w:pStyle w:val="Subtitle"/>
        <w:rPr>
          <w:rFonts w:ascii="Calibri" w:hAnsi="Calibri" w:asciiTheme="minorHAnsi" w:hAnsiTheme="minorHAnsi"/>
          <w:lang w:val="en-US"/>
        </w:rPr>
      </w:pPr>
      <w:r>
        <w:rPr/>
      </w:r>
    </w:p>
    <w:p>
      <w:pPr>
        <w:pStyle w:val="Subtitle"/>
        <w:rPr>
          <w:rFonts w:ascii="Calibri" w:hAnsi="Calibri" w:asciiTheme="minorHAnsi" w:hAnsiTheme="minorHAnsi"/>
          <w:lang w:val="en-US"/>
        </w:rPr>
      </w:pPr>
      <w:r>
        <w:rPr/>
      </w:r>
    </w:p>
    <w:p>
      <w:pPr>
        <w:pStyle w:val="Subtitle"/>
        <w:rPr>
          <w:rFonts w:ascii="Calibri" w:hAnsi="Calibri" w:asciiTheme="minorHAnsi" w:hAnsiTheme="minorHAnsi"/>
          <w:lang w:val="en-US"/>
        </w:rPr>
      </w:pPr>
      <w:r>
        <w:rPr/>
      </w:r>
    </w:p>
    <w:p>
      <w:pPr>
        <w:pStyle w:val="Subtitle"/>
        <w:rPr>
          <w:rFonts w:ascii="Calibri" w:hAnsi="Calibri" w:asciiTheme="minorHAnsi" w:hAnsiTheme="minorHAnsi"/>
          <w:lang w:val="en-US"/>
        </w:rPr>
      </w:pPr>
      <w:r>
        <w:rPr/>
      </w:r>
    </w:p>
    <w:p>
      <w:pPr>
        <w:pStyle w:val="Subtitle"/>
        <w:rPr>
          <w:rFonts w:ascii="Calibri" w:hAnsi="Calibri" w:asciiTheme="minorHAnsi" w:hAnsiTheme="minorHAnsi"/>
          <w:lang w:val="en-US"/>
        </w:rPr>
      </w:pPr>
      <w:r>
        <w:rPr>
          <w:rFonts w:ascii="Calibri" w:hAnsi="Calibri" w:asciiTheme="minorHAnsi" w:hAnsiTheme="minorHAnsi"/>
          <w:lang w:val="en-US"/>
        </w:rPr>
        <w:t>File specifics</w:t>
      </w:r>
    </w:p>
    <w:p>
      <w:pPr>
        <w:pStyle w:val="Normal"/>
        <w:widowControl w:val="false"/>
        <w:spacing w:lineRule="auto" w:line="276" w:before="0" w:after="60"/>
        <w:jc w:val="both"/>
        <w:rPr>
          <w:rFonts w:cs="TimesNewRomanPSMT"/>
        </w:rPr>
      </w:pPr>
      <w:r>
        <w:rPr>
          <w:rFonts w:cs="TimesNewRomanPSMT"/>
        </w:rPr>
        <w:t>The file is available in a csv format, being the Field delimiter « , » (comma)</w:t>
      </w:r>
    </w:p>
    <w:p>
      <w:pPr>
        <w:pStyle w:val="Normal"/>
        <w:rPr>
          <w:lang w:eastAsia="it-IT"/>
        </w:rPr>
      </w:pPr>
      <w:r>
        <w:rPr>
          <w:lang w:eastAsia="it-IT"/>
        </w:rPr>
      </w:r>
    </w:p>
    <w:p>
      <w:pPr>
        <w:pStyle w:val="Normal"/>
        <w:widowControl w:val="false"/>
        <w:jc w:val="both"/>
        <w:rPr>
          <w:rFonts w:cs="TimesNewRomanPSMT"/>
        </w:rPr>
      </w:pPr>
      <w:r>
        <w:rPr>
          <w:rFonts w:cs="TimesNewRomanPSMT"/>
        </w:rPr>
        <w:t>For further clarification, please look at the README files of every data subset.</w:t>
      </w:r>
    </w:p>
    <w:p>
      <w:pPr>
        <w:pStyle w:val="Subtitle"/>
        <w:rPr>
          <w:rFonts w:ascii="Calibri" w:hAnsi="Calibri" w:asciiTheme="minorHAnsi" w:hAnsiTheme="minorHAnsi"/>
          <w:lang w:val="en-US"/>
        </w:rPr>
      </w:pPr>
      <w:r>
        <w:rPr>
          <w:rFonts w:asciiTheme="minorHAnsi" w:hAnsiTheme="minorHAnsi" w:ascii="Calibri" w:hAnsi="Calibri"/>
          <w:lang w:val="en-US"/>
        </w:rPr>
      </w:r>
    </w:p>
    <w:p>
      <w:pPr>
        <w:pStyle w:val="Subtitle"/>
        <w:rPr>
          <w:rFonts w:ascii="Calibri" w:hAnsi="Calibri" w:asciiTheme="minorHAnsi" w:hAnsiTheme="minorHAnsi"/>
          <w:lang w:val="en-US"/>
        </w:rPr>
      </w:pPr>
      <w:r>
        <w:rPr>
          <w:rFonts w:ascii="Calibri" w:hAnsi="Calibri" w:asciiTheme="minorHAnsi" w:hAnsiTheme="minorHAnsi"/>
          <w:lang w:val="en-US"/>
        </w:rPr>
        <w:t>Notes</w:t>
      </w:r>
      <w:r>
        <w:rPr>
          <w:rFonts w:cs="TimesNewRomanPSMT" w:ascii="Calibri" w:hAnsi="Calibri" w:asciiTheme="minorHAnsi" w:hAnsiTheme="minorHAnsi"/>
          <w:lang w:val="en-US"/>
        </w:rPr>
        <w:t xml:space="preserve"> </w:t>
      </w:r>
    </w:p>
    <w:p>
      <w:pPr>
        <w:pStyle w:val="Normal"/>
        <w:widowControl w:val="false"/>
        <w:jc w:val="both"/>
        <w:rPr>
          <w:rFonts w:cs="TimesNewRomanPSMT"/>
        </w:rPr>
      </w:pPr>
      <w:r>
        <w:rPr>
          <w:rFonts w:cs="TimesNewRomanPSMT"/>
        </w:rPr>
        <w:t xml:space="preserve">The deliverable D25 can be downloaded at </w:t>
      </w:r>
    </w:p>
    <w:p>
      <w:pPr>
        <w:pStyle w:val="Normal"/>
        <w:widowControl w:val="false"/>
        <w:jc w:val="both"/>
        <w:rPr>
          <w:rFonts w:cs="TimesNewRomanPSMT"/>
          <w:lang w:val="en-GB"/>
        </w:rPr>
      </w:pPr>
      <w:r>
        <w:rPr>
          <w:rFonts w:cs="TimesNewRomanPSMT"/>
          <w:lang w:val="en-GB"/>
        </w:rPr>
        <w:t xml:space="preserve">http://doi.org/10.6092/unibo/amsacta/6114 </w:t>
      </w:r>
      <w:r>
        <w:rPr>
          <w:rFonts w:cs="TimesNewRomanPSMT"/>
        </w:rPr>
        <w:t>(AMS Acta)</w:t>
      </w:r>
    </w:p>
    <w:p>
      <w:pPr>
        <w:pStyle w:val="Normal"/>
        <w:rPr>
          <w:rFonts w:cs="TimesNewRomanPSMT"/>
          <w:lang w:val="en-GB"/>
        </w:rPr>
      </w:pPr>
      <w:r>
        <w:rPr>
          <w:rFonts w:cs="TimesNewRomanPSMT"/>
          <w:lang w:val="en-GB"/>
        </w:rPr>
      </w:r>
    </w:p>
    <w:p>
      <w:pPr>
        <w:pStyle w:val="Normal"/>
        <w:widowControl w:val="false"/>
        <w:jc w:val="both"/>
        <w:rPr>
          <w:rFonts w:cs="TimesNewRomanPSMT"/>
          <w:lang w:val="en-GB"/>
        </w:rPr>
      </w:pPr>
      <w:r>
        <w:rPr>
          <w:rFonts w:cs="TimesNewRomanPSMT"/>
          <w:lang w:val="en-GB"/>
        </w:rPr>
      </w:r>
    </w:p>
    <w:p>
      <w:pPr>
        <w:pStyle w:val="Normal"/>
        <w:widowControl w:val="false"/>
        <w:jc w:val="both"/>
        <w:rPr>
          <w:rFonts w:cs="TimesNewRomanPSMT"/>
          <w:lang w:val="en-GB"/>
        </w:rPr>
      </w:pPr>
      <w:r>
        <w:rPr>
          <w:rFonts w:cs="TimesNewRomanPSMT"/>
          <w:lang w:val="en-GB"/>
        </w:rPr>
        <w:t>Data set U GOT</w:t>
      </w:r>
    </w:p>
    <w:p>
      <w:pPr>
        <w:pStyle w:val="Normal"/>
        <w:widowControl w:val="false"/>
        <w:jc w:val="both"/>
        <w:rPr>
          <w:rFonts w:cs="TimesNewRomanPSMT"/>
          <w:lang w:val="es-ES"/>
        </w:rPr>
      </w:pPr>
      <w:r>
        <w:rPr>
          <w:rFonts w:cs="TimesNewRomanPSMT"/>
          <w:lang w:val="es-ES"/>
        </w:rPr>
        <w:t>https://doi.org/10.5281/zenodo.3332792 (Zenodo) - dataset</w:t>
      </w:r>
    </w:p>
    <w:p>
      <w:pPr>
        <w:pStyle w:val="Normal"/>
        <w:widowControl w:val="false"/>
        <w:jc w:val="both"/>
        <w:rPr>
          <w:rFonts w:cs="TimesNewRomanPSMT"/>
          <w:lang w:val="es-ES"/>
        </w:rPr>
      </w:pPr>
      <w:r>
        <w:rPr>
          <w:rFonts w:cs="TimesNewRomanPSMT"/>
          <w:lang w:val="es-ES"/>
        </w:rPr>
      </w:r>
    </w:p>
    <w:p>
      <w:pPr>
        <w:pStyle w:val="Normal"/>
        <w:rPr>
          <w:lang w:val="es-ES" w:eastAsia="it-IT"/>
        </w:rPr>
      </w:pPr>
      <w:r>
        <w:rPr>
          <w:lang w:val="es-ES" w:eastAsia="it-IT"/>
        </w:rPr>
      </w:r>
    </w:p>
    <w:p>
      <w:pPr>
        <w:pStyle w:val="Normal"/>
        <w:rPr>
          <w:lang w:val="en-GB" w:eastAsia="it-IT"/>
        </w:rPr>
      </w:pPr>
      <w:r>
        <w:rPr>
          <w:lang w:val="en-GB" w:eastAsia="it-IT"/>
        </w:rPr>
        <w:t xml:space="preserve">https://zenodo.org/record/#.XSfEJvZuLsc </w:t>
      </w:r>
    </w:p>
    <w:p>
      <w:pPr>
        <w:pStyle w:val="Subtitle"/>
        <w:rPr>
          <w:rFonts w:ascii="Calibri" w:hAnsi="Calibri" w:asciiTheme="minorHAnsi" w:hAnsiTheme="minorHAnsi"/>
          <w:lang w:val="en-US"/>
        </w:rPr>
      </w:pPr>
      <w:r>
        <w:rPr>
          <w:rFonts w:asciiTheme="minorHAnsi" w:hAnsiTheme="minorHAnsi" w:ascii="Calibri" w:hAnsi="Calibri"/>
          <w:lang w:val="en-US"/>
        </w:rPr>
      </w:r>
    </w:p>
    <w:p>
      <w:pPr>
        <w:pStyle w:val="Subtitle"/>
        <w:rPr>
          <w:rFonts w:ascii="Calibri" w:hAnsi="Calibri" w:asciiTheme="minorHAnsi" w:hAnsiTheme="minorHAnsi"/>
          <w:lang w:val="en-US"/>
        </w:rPr>
      </w:pPr>
      <w:r>
        <w:rPr>
          <w:rFonts w:ascii="Calibri" w:hAnsi="Calibri" w:asciiTheme="minorHAnsi" w:hAnsiTheme="minorHAnsi"/>
          <w:lang w:val="en-US"/>
        </w:rPr>
        <w:t xml:space="preserve">Data sources </w:t>
      </w:r>
    </w:p>
    <w:p>
      <w:pPr>
        <w:pStyle w:val="Normal"/>
        <w:widowControl w:val="false"/>
        <w:jc w:val="both"/>
        <w:rPr>
          <w:rFonts w:cs="TimesNewRomanPSMT"/>
        </w:rPr>
      </w:pPr>
      <w:r>
        <w:rPr>
          <w:rFonts w:cs="TimesNewRomanPSMT"/>
        </w:rPr>
        <w:t>For further clarification, please look at the README file of the data set.</w:t>
      </w:r>
    </w:p>
    <w:p>
      <w:pPr>
        <w:pStyle w:val="Normal"/>
        <w:widowControl w:val="false"/>
        <w:spacing w:before="0" w:after="240"/>
        <w:jc w:val="both"/>
        <w:rPr>
          <w:rFonts w:cs="TimesNewRomanPSMT"/>
          <w:b/>
          <w:b/>
          <w:color w:val="808080" w:themeColor="background1" w:themeShade="80"/>
          <w:sz w:val="18"/>
        </w:rPr>
      </w:pPr>
      <w:r>
        <w:rPr>
          <w:rFonts w:cs="TimesNewRomanPSMT"/>
          <w:b/>
          <w:color w:val="808080" w:themeColor="background1" w:themeShade="80"/>
          <w:sz w:val="18"/>
        </w:rPr>
      </w:r>
    </w:p>
    <w:p>
      <w:pPr>
        <w:pStyle w:val="Subtitle"/>
        <w:rPr>
          <w:rFonts w:ascii="Calibri" w:hAnsi="Calibri" w:asciiTheme="minorHAnsi" w:hAnsiTheme="minorHAnsi"/>
          <w:lang w:val="en-US"/>
        </w:rPr>
      </w:pPr>
      <w:r>
        <w:rPr>
          <w:rFonts w:ascii="Calibri" w:hAnsi="Calibri" w:asciiTheme="minorHAnsi" w:hAnsiTheme="minorHAnsi"/>
          <w:lang w:val="en-US"/>
        </w:rPr>
        <w:t xml:space="preserve">Methodologies </w:t>
      </w:r>
    </w:p>
    <w:p>
      <w:pPr>
        <w:pStyle w:val="Normal"/>
        <w:widowControl w:val="false"/>
        <w:jc w:val="both"/>
        <w:rPr>
          <w:rFonts w:cs="TimesNewRomanPSMT"/>
        </w:rPr>
      </w:pPr>
      <w:r>
        <w:rPr>
          <w:rFonts w:cs="TimesNewRomanPSMT"/>
        </w:rPr>
        <w:t>For further clarification, please look at the README file of the data set.</w:t>
      </w:r>
    </w:p>
    <w:p>
      <w:pPr>
        <w:pStyle w:val="Subtitle"/>
        <w:rPr>
          <w:rFonts w:ascii="Calibri" w:hAnsi="Calibri" w:asciiTheme="minorHAnsi" w:hAnsiTheme="minorHAnsi"/>
          <w:lang w:val="en-US"/>
        </w:rPr>
      </w:pPr>
      <w:bookmarkStart w:id="0" w:name="_GoBack"/>
      <w:bookmarkStart w:id="1" w:name="_GoBack"/>
      <w:bookmarkEnd w:id="1"/>
      <w:r>
        <w:rPr>
          <w:rFonts w:asciiTheme="minorHAnsi" w:hAnsiTheme="minorHAnsi" w:ascii="Calibri" w:hAnsi="Calibri"/>
          <w:lang w:val="en-US"/>
        </w:rPr>
      </w:r>
    </w:p>
    <w:p>
      <w:pPr>
        <w:pStyle w:val="Subtitle"/>
        <w:rPr>
          <w:rFonts w:ascii="Calibri" w:hAnsi="Calibri" w:asciiTheme="minorHAnsi" w:hAnsiTheme="minorHAnsi"/>
          <w:lang w:val="en-US"/>
        </w:rPr>
      </w:pPr>
      <w:r>
        <w:rPr>
          <w:rFonts w:ascii="Calibri" w:hAnsi="Calibri" w:asciiTheme="minorHAnsi" w:hAnsiTheme="minorHAnsi"/>
          <w:lang w:val="en-US"/>
        </w:rPr>
        <w:t xml:space="preserve">Codebook of variables </w:t>
      </w:r>
    </w:p>
    <w:p>
      <w:pPr>
        <w:pStyle w:val="Normal"/>
        <w:widowControl w:val="false"/>
        <w:jc w:val="both"/>
        <w:rPr>
          <w:rFonts w:cs="TimesNewRomanPSMT"/>
        </w:rPr>
      </w:pPr>
      <w:r>
        <w:rPr>
          <w:rFonts w:cs="TimesNewRomanPSMT"/>
        </w:rPr>
        <w:t>For further clarification, please look at the README files of the data set.</w:t>
      </w:r>
    </w:p>
    <w:p>
      <w:pPr>
        <w:pStyle w:val="Normal"/>
        <w:widowControl w:val="false"/>
        <w:spacing w:lineRule="auto" w:line="276" w:before="0" w:after="240"/>
        <w:jc w:val="both"/>
        <w:rPr>
          <w:rFonts w:cs="TimesNewRomanPSMT"/>
          <w:b/>
          <w:b/>
          <w:color w:val="AEAAAA" w:themeColor="background2" w:themeShade="bf"/>
          <w:sz w:val="18"/>
        </w:rPr>
      </w:pPr>
      <w:r>
        <w:rPr>
          <w:rFonts w:cs="TimesNewRomanPSMT"/>
          <w:b/>
          <w:color w:val="AEAAAA" w:themeColor="background2" w:themeShade="bf"/>
          <w:sz w:val="18"/>
        </w:rPr>
      </w:r>
    </w:p>
    <w:p>
      <w:pPr>
        <w:pStyle w:val="Normal"/>
        <w:widowControl w:val="false"/>
        <w:spacing w:lineRule="auto" w:line="276" w:before="0" w:after="240"/>
        <w:jc w:val="both"/>
        <w:rPr>
          <w:rFonts w:cs="TimesNewRomanPSMT"/>
          <w:b/>
          <w:b/>
          <w:color w:val="808080" w:themeColor="background1" w:themeShade="80"/>
          <w:sz w:val="22"/>
          <w:u w:val="single"/>
        </w:rPr>
      </w:pPr>
      <w:r>
        <w:rPr>
          <w:rFonts w:cs="TimesNewRomanPSMT"/>
          <w:b/>
          <w:color w:val="808080" w:themeColor="background1" w:themeShade="80"/>
          <w:sz w:val="22"/>
          <w:u w:val="single"/>
        </w:rPr>
      </w:r>
    </w:p>
    <w:p>
      <w:pPr>
        <w:pStyle w:val="Normal"/>
        <w:widowControl w:val="false"/>
        <w:spacing w:lineRule="auto" w:line="276" w:before="0" w:after="240"/>
        <w:jc w:val="both"/>
        <w:rPr>
          <w:rFonts w:cs="TimesNewRomanPSMT"/>
          <w:b/>
          <w:b/>
          <w:color w:val="808080" w:themeColor="background1" w:themeShade="80"/>
          <w:sz w:val="22"/>
          <w:u w:val="single"/>
        </w:rPr>
      </w:pPr>
      <w:r>
        <w:rPr>
          <w:rFonts w:cs="TimesNewRomanPSMT"/>
          <w:b/>
          <w:color w:val="808080" w:themeColor="background1" w:themeShade="80"/>
          <w:sz w:val="22"/>
          <w:u w:val="single"/>
        </w:rPr>
      </w:r>
    </w:p>
    <w:p>
      <w:pPr>
        <w:pStyle w:val="Normal"/>
        <w:widowControl w:val="false"/>
        <w:spacing w:lineRule="auto" w:line="276" w:before="0" w:after="240"/>
        <w:jc w:val="both"/>
        <w:rPr>
          <w:rFonts w:cs="TimesNewRomanPSMT"/>
          <w:b/>
          <w:b/>
          <w:color w:val="AEAAAA" w:themeColor="background2" w:themeShade="bf"/>
          <w:sz w:val="18"/>
        </w:rPr>
      </w:pPr>
      <w:r>
        <w:rPr>
          <w:rFonts w:cs="TimesNewRomanPSMT"/>
          <w:b/>
          <w:color w:val="AEAAAA" w:themeColor="background2" w:themeShade="bf"/>
          <w:sz w:val="18"/>
        </w:rPr>
      </w:r>
    </w:p>
    <w:p>
      <w:pPr>
        <w:pStyle w:val="Normal"/>
        <w:rPr/>
      </w:pPr>
      <w:r>
        <w:rPr/>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0661848"/>
    </w:sdtPr>
    <w:sdtContent>
      <w:p>
        <w:pPr>
          <w:pStyle w:val="Footer"/>
          <w:spacing w:before="360" w:after="0"/>
          <w:jc w:val="center"/>
          <w:rPr/>
        </w:pPr>
        <w:r>
          <w:rPr>
            <w:sz w:val="18"/>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857500" cy="7620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2857500" cy="762000"/>
                  </a:xfrm>
                  <a:prstGeom prst="rect">
                    <a:avLst/>
                  </a:prstGeom>
                </pic:spPr>
              </pic:pic>
            </a:graphicData>
          </a:graphic>
        </wp:inline>
      </w:drawing>
    </w:r>
  </w:p>
  <w:p>
    <w:pPr>
      <w:pStyle w:val="Header"/>
      <w:spacing w:before="0" w:after="360"/>
      <w:jc w:val="center"/>
      <w:rPr>
        <w:b/>
        <w:b/>
        <w:i/>
        <w:i/>
        <w:sz w:val="18"/>
      </w:rPr>
    </w:pPr>
    <w:r>
      <w:rPr>
        <w:b/>
        <w:i/>
        <w:sz w:val="18"/>
      </w:rPr>
      <w:t>funded from the European Union’s Horizon 2020 Research and Innovation Programme under Grant Agreement N. 693529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29d0"/>
    <w:pPr>
      <w:widowControl/>
      <w:bidi w:val="0"/>
      <w:spacing w:lineRule="auto" w:line="240" w:before="0" w:after="0"/>
      <w:jc w:val="left"/>
    </w:pPr>
    <w:rPr>
      <w:rFonts w:eastAsia="" w:eastAsiaTheme="minorEastAsia" w:ascii="Calibri" w:hAnsi="Calibri" w:cs=""/>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b29d0"/>
    <w:rPr>
      <w:color w:val="0563C1" w:themeColor="hyperlink"/>
      <w:u w:val="single"/>
    </w:rPr>
  </w:style>
  <w:style w:type="character" w:styleId="SubtitleChar" w:customStyle="1">
    <w:name w:val="Subtitle Char"/>
    <w:basedOn w:val="DefaultParagraphFont"/>
    <w:link w:val="Subtitle"/>
    <w:uiPriority w:val="11"/>
    <w:qFormat/>
    <w:rsid w:val="00cb29d0"/>
    <w:rPr>
      <w:rFonts w:ascii="Calibri Light" w:hAnsi="Calibri Light" w:eastAsia="" w:cs="Times New Roman" w:asciiTheme="majorHAnsi" w:eastAsiaTheme="majorEastAsia" w:hAnsiTheme="majorHAnsi"/>
      <w:i/>
      <w:iCs/>
      <w:color w:val="5B9BD5" w:themeColor="accent1"/>
      <w:spacing w:val="15"/>
      <w:sz w:val="24"/>
      <w:szCs w:val="24"/>
      <w:lang w:eastAsia="it-IT"/>
    </w:rPr>
  </w:style>
  <w:style w:type="character" w:styleId="HeaderChar" w:customStyle="1">
    <w:name w:val="Header Char"/>
    <w:basedOn w:val="DefaultParagraphFont"/>
    <w:link w:val="Header"/>
    <w:uiPriority w:val="99"/>
    <w:qFormat/>
    <w:rsid w:val="00cb29d0"/>
    <w:rPr>
      <w:rFonts w:eastAsia="" w:eastAsiaTheme="minorEastAsia"/>
      <w:sz w:val="24"/>
      <w:szCs w:val="24"/>
      <w:lang w:val="en-US"/>
    </w:rPr>
  </w:style>
  <w:style w:type="character" w:styleId="FooterChar" w:customStyle="1">
    <w:name w:val="Footer Char"/>
    <w:basedOn w:val="DefaultParagraphFont"/>
    <w:link w:val="Footer"/>
    <w:uiPriority w:val="99"/>
    <w:qFormat/>
    <w:rsid w:val="00cb29d0"/>
    <w:rPr>
      <w:rFonts w:eastAsia="" w:eastAsiaTheme="minorEastAsia"/>
      <w:sz w:val="24"/>
      <w:szCs w:val="24"/>
      <w:lang w:val="en-US"/>
    </w:rPr>
  </w:style>
  <w:style w:type="character" w:styleId="Annotationreference">
    <w:name w:val="annotation reference"/>
    <w:basedOn w:val="DefaultParagraphFont"/>
    <w:uiPriority w:val="99"/>
    <w:semiHidden/>
    <w:unhideWhenUsed/>
    <w:qFormat/>
    <w:rsid w:val="00c37cd6"/>
    <w:rPr>
      <w:sz w:val="16"/>
      <w:szCs w:val="16"/>
    </w:rPr>
  </w:style>
  <w:style w:type="character" w:styleId="CommentTextChar" w:customStyle="1">
    <w:name w:val="Comment Text Char"/>
    <w:basedOn w:val="DefaultParagraphFont"/>
    <w:link w:val="CommentText"/>
    <w:uiPriority w:val="99"/>
    <w:semiHidden/>
    <w:qFormat/>
    <w:rsid w:val="00c37cd6"/>
    <w:rPr>
      <w:rFonts w:eastAsia="" w:eastAsiaTheme="minorEastAsia"/>
      <w:sz w:val="20"/>
      <w:szCs w:val="20"/>
      <w:lang w:val="en-US"/>
    </w:rPr>
  </w:style>
  <w:style w:type="character" w:styleId="CommentSubjectChar" w:customStyle="1">
    <w:name w:val="Comment Subject Char"/>
    <w:basedOn w:val="CommentTextChar"/>
    <w:link w:val="CommentSubject"/>
    <w:uiPriority w:val="99"/>
    <w:semiHidden/>
    <w:qFormat/>
    <w:rsid w:val="00c37cd6"/>
    <w:rPr>
      <w:rFonts w:eastAsia="" w:eastAsiaTheme="minorEastAsia"/>
      <w:b/>
      <w:bCs/>
      <w:sz w:val="20"/>
      <w:szCs w:val="20"/>
      <w:lang w:val="en-US"/>
    </w:rPr>
  </w:style>
  <w:style w:type="character" w:styleId="BalloonTextChar" w:customStyle="1">
    <w:name w:val="Balloon Text Char"/>
    <w:basedOn w:val="DefaultParagraphFont"/>
    <w:link w:val="BalloonText"/>
    <w:uiPriority w:val="99"/>
    <w:semiHidden/>
    <w:qFormat/>
    <w:rsid w:val="00c37cd6"/>
    <w:rPr>
      <w:rFonts w:ascii="Times New Roman" w:hAnsi="Times New Roman" w:eastAsia="" w:cs="Times New Roman" w:eastAsiaTheme="minorEastAsia"/>
      <w:sz w:val="18"/>
      <w:szCs w:val="18"/>
      <w:lang w:val="en-U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b29d0"/>
    <w:pPr>
      <w:spacing w:before="0" w:after="0"/>
      <w:ind w:left="720" w:hanging="0"/>
      <w:contextualSpacing/>
    </w:pPr>
    <w:rPr/>
  </w:style>
  <w:style w:type="paragraph" w:styleId="Subtitle">
    <w:name w:val="Subtitle"/>
    <w:basedOn w:val="Normal"/>
    <w:next w:val="Normal"/>
    <w:link w:val="SubtitleChar"/>
    <w:uiPriority w:val="11"/>
    <w:qFormat/>
    <w:rsid w:val="00cb29d0"/>
    <w:pPr>
      <w:spacing w:lineRule="auto" w:line="276" w:before="0" w:after="200"/>
    </w:pPr>
    <w:rPr>
      <w:rFonts w:ascii="Calibri Light" w:hAnsi="Calibri Light" w:eastAsia="" w:cs="Times New Roman" w:asciiTheme="majorHAnsi" w:eastAsiaTheme="majorEastAsia" w:hAnsiTheme="majorHAnsi"/>
      <w:i/>
      <w:iCs/>
      <w:color w:val="5B9BD5" w:themeColor="accent1"/>
      <w:spacing w:val="15"/>
      <w:lang w:val="it-IT" w:eastAsia="it-IT"/>
    </w:rPr>
  </w:style>
  <w:style w:type="paragraph" w:styleId="Header">
    <w:name w:val="Header"/>
    <w:basedOn w:val="Normal"/>
    <w:link w:val="HeaderChar"/>
    <w:uiPriority w:val="99"/>
    <w:unhideWhenUsed/>
    <w:rsid w:val="00cb29d0"/>
    <w:pPr>
      <w:tabs>
        <w:tab w:val="center" w:pos="4819" w:leader="none"/>
        <w:tab w:val="right" w:pos="9638" w:leader="none"/>
      </w:tabs>
    </w:pPr>
    <w:rPr/>
  </w:style>
  <w:style w:type="paragraph" w:styleId="Footer">
    <w:name w:val="Footer"/>
    <w:basedOn w:val="Normal"/>
    <w:link w:val="FooterChar"/>
    <w:uiPriority w:val="99"/>
    <w:unhideWhenUsed/>
    <w:rsid w:val="00cb29d0"/>
    <w:pPr>
      <w:tabs>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c37cd6"/>
    <w:pPr/>
    <w:rPr>
      <w:sz w:val="20"/>
      <w:szCs w:val="20"/>
    </w:rPr>
  </w:style>
  <w:style w:type="paragraph" w:styleId="Annotationsubject">
    <w:name w:val="annotation subject"/>
    <w:basedOn w:val="Annotationtext"/>
    <w:link w:val="CommentSubjectChar"/>
    <w:uiPriority w:val="99"/>
    <w:semiHidden/>
    <w:unhideWhenUsed/>
    <w:qFormat/>
    <w:rsid w:val="00c37cd6"/>
    <w:pPr/>
    <w:rPr>
      <w:b/>
      <w:bCs/>
    </w:rPr>
  </w:style>
  <w:style w:type="paragraph" w:styleId="BalloonText">
    <w:name w:val="Balloon Text"/>
    <w:basedOn w:val="Normal"/>
    <w:link w:val="BalloonTextChar"/>
    <w:uiPriority w:val="99"/>
    <w:semiHidden/>
    <w:unhideWhenUsed/>
    <w:qFormat/>
    <w:rsid w:val="00c37cd6"/>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nuccia.calia@unibo.it" TargetMode="External"/><Relationship Id="rId3" Type="http://schemas.openxmlformats.org/officeDocument/2006/relationships/hyperlink" Target="mailto:vroyuela@ub.ed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LibreOffice/5.2.7.2$Linux_X86_64 LibreOffice_project/20m0$Build-2</Application>
  <Pages>4</Pages>
  <Words>788</Words>
  <Characters>5358</Characters>
  <CharactersWithSpaces>6113</CharactersWithSpaces>
  <Paragraphs>56</Paragraphs>
  <Company>Università di Bologna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2019-07-29T09:23:00Z</dcterms:created>
  <dc:creator>Irene Frascari</dc:creator>
  <dc:description/>
  <dc:language>ca-ES</dc:language>
  <cp:lastModifiedBy/>
  <dcterms:modified xsi:type="dcterms:W3CDTF">2019-09-09T13:29:41Z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