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3" w:rsidRPr="00273C57" w:rsidRDefault="00FF4563" w:rsidP="00D83CFA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273C57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Contemporary British Theatre: New Trends</w:t>
      </w:r>
    </w:p>
    <w:p w:rsidR="00FF4563" w:rsidRPr="00273C57" w:rsidRDefault="00FF4563" w:rsidP="00D83CFA">
      <w:pPr>
        <w:tabs>
          <w:tab w:val="left" w:pos="0"/>
        </w:tabs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</w:pPr>
      <w:r w:rsidRPr="00273C57">
        <w:rPr>
          <w:rStyle w:val="apple-style-span"/>
          <w:rFonts w:ascii="OrigGarmnd BT" w:hAnsi="OrigGarmnd BT" w:cs="Aharoni"/>
          <w:b/>
          <w:color w:val="000000"/>
          <w:sz w:val="24"/>
          <w:szCs w:val="24"/>
          <w:lang w:val="en-US"/>
        </w:rPr>
        <w:t>2015/16</w:t>
      </w:r>
    </w:p>
    <w:p w:rsidR="00B05AFB" w:rsidRPr="00273C57" w:rsidRDefault="003200BF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 w:rsidRPr="00273C57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>Task</w:t>
      </w:r>
      <w:r w:rsidR="00006877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2</w:t>
      </w:r>
      <w:r w:rsidR="00574203" w:rsidRPr="00273C57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</w:t>
      </w:r>
    </w:p>
    <w:p w:rsidR="00B05AFB" w:rsidRPr="00CB37CE" w:rsidRDefault="00AA4B09" w:rsidP="00D83CFA">
      <w:pPr>
        <w:spacing w:before="120" w:after="120" w:line="240" w:lineRule="auto"/>
        <w:ind w:right="-1"/>
        <w:jc w:val="center"/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</w:pPr>
      <w:r w:rsidRPr="00CB37CE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Party Time</w:t>
      </w:r>
      <w:r w:rsidRPr="00CB37CE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(1991)</w:t>
      </w:r>
      <w:r w:rsidR="005A1050" w:rsidRPr="00CB37CE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and</w:t>
      </w:r>
      <w:r w:rsidRPr="00CB37CE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</w:t>
      </w:r>
      <w:r w:rsidRPr="00CB37CE">
        <w:rPr>
          <w:rStyle w:val="apple-style-span"/>
          <w:rFonts w:ascii="OrigGarmnd BT" w:hAnsi="OrigGarmnd BT" w:cs="Aharoni"/>
          <w:b/>
          <w:i/>
          <w:color w:val="000000" w:themeColor="text1"/>
          <w:sz w:val="24"/>
          <w:szCs w:val="24"/>
          <w:lang w:val="en-US"/>
        </w:rPr>
        <w:t>Far Away</w:t>
      </w:r>
      <w:r w:rsidRPr="00CB37CE">
        <w:rPr>
          <w:rStyle w:val="apple-style-span"/>
          <w:rFonts w:ascii="OrigGarmnd BT" w:hAnsi="OrigGarmnd BT" w:cs="Aharoni"/>
          <w:b/>
          <w:color w:val="000000" w:themeColor="text1"/>
          <w:sz w:val="24"/>
          <w:szCs w:val="24"/>
          <w:lang w:val="en-US"/>
        </w:rPr>
        <w:t xml:space="preserve"> (2000)</w:t>
      </w:r>
    </w:p>
    <w:p w:rsidR="0094083E" w:rsidRDefault="0094083E" w:rsidP="0094083E">
      <w:pPr>
        <w:spacing w:after="0"/>
        <w:jc w:val="center"/>
        <w:rPr>
          <w:rFonts w:ascii="OrigGarmnd BT" w:hAnsi="OrigGarmnd BT"/>
          <w:color w:val="FF0000"/>
          <w:lang w:val="en-US"/>
        </w:rPr>
      </w:pPr>
      <w:r w:rsidRPr="006C61FD">
        <w:rPr>
          <w:rFonts w:ascii="OrigGarmnd BT" w:hAnsi="OrigGarmnd BT"/>
          <w:color w:val="FF0000"/>
          <w:lang w:val="en-US"/>
        </w:rPr>
        <w:t xml:space="preserve">Please remember you may write 350 words max. </w:t>
      </w:r>
      <w:proofErr w:type="gramStart"/>
      <w:r w:rsidRPr="006C61FD">
        <w:rPr>
          <w:rFonts w:ascii="OrigGarmnd BT" w:hAnsi="OrigGarmnd BT"/>
          <w:color w:val="FF0000"/>
          <w:lang w:val="en-US"/>
        </w:rPr>
        <w:t>per</w:t>
      </w:r>
      <w:proofErr w:type="gramEnd"/>
      <w:r w:rsidRPr="006C61FD">
        <w:rPr>
          <w:rFonts w:ascii="OrigGarmnd BT" w:hAnsi="OrigGarmnd BT"/>
          <w:color w:val="FF0000"/>
          <w:lang w:val="en-US"/>
        </w:rPr>
        <w:t xml:space="preserve"> question, in the box provided</w:t>
      </w:r>
      <w:r>
        <w:rPr>
          <w:rFonts w:ascii="OrigGarmnd BT" w:hAnsi="OrigGarmnd BT"/>
          <w:color w:val="FF0000"/>
          <w:lang w:val="en-US"/>
        </w:rPr>
        <w:t>.</w:t>
      </w:r>
    </w:p>
    <w:p w:rsidR="0094083E" w:rsidRDefault="0094083E" w:rsidP="0094083E">
      <w:pPr>
        <w:spacing w:after="0"/>
        <w:jc w:val="center"/>
        <w:rPr>
          <w:rFonts w:ascii="OrigGarmnd BT" w:hAnsi="OrigGarmnd BT"/>
          <w:color w:val="FF0000"/>
          <w:lang w:val="en-US"/>
        </w:rPr>
      </w:pPr>
      <w:r>
        <w:rPr>
          <w:rFonts w:ascii="OrigGarmnd BT" w:hAnsi="OrigGarmnd BT"/>
          <w:color w:val="FF0000"/>
          <w:lang w:val="en-US"/>
        </w:rPr>
        <w:t>Please type your answers in Times New Roman 12 and use double spacing.</w:t>
      </w:r>
    </w:p>
    <w:p w:rsidR="00F467F0" w:rsidRDefault="00F467F0" w:rsidP="00F467F0">
      <w:pPr>
        <w:spacing w:after="0" w:line="240" w:lineRule="auto"/>
        <w:ind w:left="360"/>
        <w:jc w:val="center"/>
        <w:rPr>
          <w:rFonts w:ascii="OrigGarmnd BT" w:hAnsi="OrigGarmnd BT"/>
          <w:color w:val="FF0000"/>
          <w:lang w:val="en-US" w:eastAsia="es-ES"/>
        </w:rPr>
      </w:pPr>
      <w:r>
        <w:rPr>
          <w:rFonts w:ascii="OrigGarmnd BT" w:hAnsi="OrigGarmnd BT"/>
          <w:color w:val="FF0000"/>
          <w:lang w:val="en-US"/>
        </w:rPr>
        <w:t>Plagiarism is unacceptable and will lead to automatic failure.</w:t>
      </w:r>
    </w:p>
    <w:p w:rsidR="00B95C35" w:rsidRDefault="00B95C35" w:rsidP="00B95C35">
      <w:pPr>
        <w:jc w:val="center"/>
        <w:rPr>
          <w:rFonts w:ascii="OrigGarmnd BT" w:hAnsi="OrigGarmnd BT"/>
          <w:color w:val="FF0000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2630"/>
        <w:gridCol w:w="5854"/>
      </w:tblGrid>
      <w:tr w:rsidR="00CA1564" w:rsidRPr="00CB37CE" w:rsidTr="009A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CA1564" w:rsidRPr="00CB37CE" w:rsidRDefault="000D6BEA" w:rsidP="00990ADF">
            <w:pPr>
              <w:rPr>
                <w:rFonts w:ascii="OrigGarmnd BT" w:hAnsi="OrigGarmnd BT"/>
              </w:rPr>
            </w:pPr>
            <w:proofErr w:type="spellStart"/>
            <w:r w:rsidRPr="00CB37CE">
              <w:rPr>
                <w:rFonts w:ascii="OrigGarmnd BT" w:hAnsi="OrigGarmnd BT"/>
                <w:color w:val="auto"/>
              </w:rPr>
              <w:t>Student’s</w:t>
            </w:r>
            <w:proofErr w:type="spellEnd"/>
            <w:r w:rsidRPr="00CB37CE">
              <w:rPr>
                <w:rFonts w:ascii="OrigGarmnd BT" w:hAnsi="OrigGarmnd BT"/>
                <w:color w:val="auto"/>
              </w:rPr>
              <w:t xml:space="preserve"> </w:t>
            </w:r>
            <w:proofErr w:type="spellStart"/>
            <w:r w:rsidRPr="00CB37CE">
              <w:rPr>
                <w:rFonts w:ascii="OrigGarmnd BT" w:hAnsi="OrigGarmnd BT"/>
                <w:color w:val="auto"/>
              </w:rPr>
              <w:t>Space</w:t>
            </w:r>
            <w:proofErr w:type="spellEnd"/>
          </w:p>
        </w:tc>
        <w:tc>
          <w:tcPr>
            <w:tcW w:w="5854" w:type="dxa"/>
            <w:tcBorders>
              <w:top w:val="single" w:sz="8" w:space="0" w:color="000000" w:themeColor="text1"/>
            </w:tcBorders>
            <w:shd w:val="clear" w:color="auto" w:fill="EEECE1" w:themeFill="background2"/>
          </w:tcPr>
          <w:p w:rsidR="00CA1564" w:rsidRPr="00CB37CE" w:rsidRDefault="00CA1564" w:rsidP="0057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</w:rPr>
            </w:pPr>
          </w:p>
        </w:tc>
      </w:tr>
      <w:tr w:rsidR="00CA1564" w:rsidRPr="00CB37CE" w:rsidTr="009A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tcBorders>
              <w:bottom w:val="nil"/>
            </w:tcBorders>
          </w:tcPr>
          <w:p w:rsidR="00CA1564" w:rsidRPr="00CB37CE" w:rsidRDefault="000D6BEA" w:rsidP="00990ADF">
            <w:pPr>
              <w:spacing w:after="0" w:line="240" w:lineRule="auto"/>
              <w:rPr>
                <w:rFonts w:ascii="OrigGarmnd BT" w:hAnsi="OrigGarmnd BT"/>
                <w:b w:val="0"/>
              </w:rPr>
            </w:pPr>
            <w:proofErr w:type="spellStart"/>
            <w:r w:rsidRPr="00CB37CE">
              <w:rPr>
                <w:rFonts w:ascii="OrigGarmnd BT" w:hAnsi="OrigGarmnd BT"/>
                <w:b w:val="0"/>
              </w:rPr>
              <w:t>Name</w:t>
            </w:r>
            <w:proofErr w:type="spellEnd"/>
            <w:r w:rsidRPr="00CB37CE">
              <w:rPr>
                <w:rFonts w:ascii="OrigGarmnd BT" w:hAnsi="OrigGarmnd BT"/>
                <w:b w:val="0"/>
              </w:rPr>
              <w:t xml:space="preserve"> and </w:t>
            </w:r>
            <w:proofErr w:type="spellStart"/>
            <w:r w:rsidRPr="00CB37CE">
              <w:rPr>
                <w:rFonts w:ascii="OrigGarmnd BT" w:hAnsi="OrigGarmnd BT"/>
                <w:b w:val="0"/>
              </w:rPr>
              <w:t>surname</w:t>
            </w:r>
            <w:proofErr w:type="spellEnd"/>
            <w:r w:rsidRPr="00CB37CE">
              <w:rPr>
                <w:rFonts w:ascii="OrigGarmnd BT" w:hAnsi="OrigGarmnd BT"/>
                <w:b w:val="0"/>
              </w:rPr>
              <w:t>(s)</w:t>
            </w:r>
          </w:p>
        </w:tc>
        <w:tc>
          <w:tcPr>
            <w:tcW w:w="5854" w:type="dxa"/>
          </w:tcPr>
          <w:p w:rsidR="00CA1564" w:rsidRPr="00CB37CE" w:rsidRDefault="00CA1564" w:rsidP="00442C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CB37CE" w:rsidTr="009A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tcBorders>
              <w:top w:val="nil"/>
              <w:bottom w:val="nil"/>
            </w:tcBorders>
          </w:tcPr>
          <w:p w:rsidR="00CA1564" w:rsidRPr="00CB37CE" w:rsidRDefault="00442CB0" w:rsidP="00990ADF">
            <w:pPr>
              <w:spacing w:after="0" w:line="240" w:lineRule="auto"/>
              <w:rPr>
                <w:rFonts w:ascii="OrigGarmnd BT" w:hAnsi="OrigGarmnd BT"/>
                <w:b w:val="0"/>
              </w:rPr>
            </w:pPr>
            <w:r w:rsidRPr="00CB37CE">
              <w:rPr>
                <w:rFonts w:ascii="OrigGarmnd BT" w:hAnsi="OrigGarmnd BT"/>
                <w:b w:val="0"/>
              </w:rPr>
              <w:t>Dat</w:t>
            </w:r>
            <w:r w:rsidR="000D6BEA" w:rsidRPr="00CB37CE">
              <w:rPr>
                <w:rFonts w:ascii="OrigGarmnd BT" w:hAnsi="OrigGarmnd BT"/>
                <w:b w:val="0"/>
              </w:rPr>
              <w:t>e</w:t>
            </w:r>
          </w:p>
        </w:tc>
        <w:tc>
          <w:tcPr>
            <w:tcW w:w="5854" w:type="dxa"/>
          </w:tcPr>
          <w:p w:rsidR="00CA1564" w:rsidRPr="00CB37CE" w:rsidRDefault="00CA1564" w:rsidP="00442C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  <w:tr w:rsidR="00CA1564" w:rsidRPr="00CB37CE" w:rsidTr="009A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tcBorders>
              <w:top w:val="nil"/>
            </w:tcBorders>
          </w:tcPr>
          <w:p w:rsidR="000D6BEA" w:rsidRPr="00CB37CE" w:rsidRDefault="000D6BEA" w:rsidP="009A0977">
            <w:pPr>
              <w:spacing w:after="0" w:line="240" w:lineRule="auto"/>
              <w:jc w:val="right"/>
              <w:rPr>
                <w:rFonts w:ascii="OrigGarmnd BT" w:hAnsi="OrigGarmnd BT"/>
              </w:rPr>
            </w:pPr>
          </w:p>
        </w:tc>
        <w:tc>
          <w:tcPr>
            <w:tcW w:w="5854" w:type="dxa"/>
          </w:tcPr>
          <w:p w:rsidR="00CA1564" w:rsidRPr="00CB37CE" w:rsidRDefault="00CA1564" w:rsidP="00442C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rigGarmnd BT" w:hAnsi="OrigGarmnd BT"/>
                <w:sz w:val="24"/>
                <w:szCs w:val="24"/>
              </w:rPr>
            </w:pPr>
          </w:p>
        </w:tc>
      </w:tr>
    </w:tbl>
    <w:p w:rsidR="007E3E22" w:rsidRDefault="007E3E22" w:rsidP="00100D09">
      <w:pPr>
        <w:spacing w:after="0"/>
        <w:jc w:val="both"/>
        <w:rPr>
          <w:rFonts w:ascii="OrigGarmnd BT" w:hAnsi="OrigGarmnd BT" w:cs="ArialMT"/>
          <w:b/>
          <w:color w:val="000000" w:themeColor="text1"/>
          <w:sz w:val="28"/>
          <w:szCs w:val="28"/>
          <w:lang w:val="en-US"/>
        </w:rPr>
      </w:pPr>
    </w:p>
    <w:p w:rsidR="00CC5265" w:rsidRPr="00273C57" w:rsidRDefault="005A3F46" w:rsidP="00100D09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273C57">
        <w:rPr>
          <w:rFonts w:ascii="OrigGarmnd BT" w:hAnsi="OrigGarmnd BT" w:cs="ArialMT"/>
          <w:b/>
          <w:color w:val="000000" w:themeColor="text1"/>
          <w:lang w:val="en-US"/>
        </w:rPr>
        <w:t>Question</w:t>
      </w:r>
      <w:r w:rsidR="00DF2D80" w:rsidRPr="00273C57">
        <w:rPr>
          <w:rFonts w:ascii="OrigGarmnd BT" w:hAnsi="OrigGarmnd BT" w:cs="ArialMT"/>
          <w:b/>
          <w:color w:val="000000" w:themeColor="text1"/>
          <w:lang w:val="en-US"/>
        </w:rPr>
        <w:t xml:space="preserve"> 1</w:t>
      </w:r>
    </w:p>
    <w:p w:rsidR="005A3F46" w:rsidRPr="00B13510" w:rsidRDefault="005A3F46" w:rsidP="00100D09">
      <w:pPr>
        <w:spacing w:after="0"/>
        <w:jc w:val="both"/>
        <w:rPr>
          <w:rFonts w:ascii="OrigGarmnd BT" w:hAnsi="OrigGarmnd BT"/>
          <w:lang w:val="en-US"/>
        </w:rPr>
      </w:pPr>
      <w:r w:rsidRPr="00B13510">
        <w:rPr>
          <w:rFonts w:ascii="OrigGarmnd BT" w:hAnsi="OrigGarmnd BT"/>
          <w:lang w:val="en-US"/>
        </w:rPr>
        <w:t xml:space="preserve">In his commentary on </w:t>
      </w:r>
      <w:r w:rsidRPr="00B13510">
        <w:rPr>
          <w:rFonts w:ascii="OrigGarmnd BT" w:hAnsi="OrigGarmnd BT"/>
          <w:i/>
          <w:lang w:val="en-US"/>
        </w:rPr>
        <w:t>Party Time</w:t>
      </w:r>
      <w:r w:rsidRPr="00B13510">
        <w:rPr>
          <w:rFonts w:ascii="OrigGarmnd BT" w:hAnsi="OrigGarmnd BT"/>
          <w:lang w:val="en-US"/>
        </w:rPr>
        <w:t xml:space="preserve"> (</w:t>
      </w:r>
      <w:r w:rsidRPr="00B13510">
        <w:rPr>
          <w:rFonts w:ascii="OrigGarmnd BT" w:hAnsi="OrigGarmnd BT"/>
          <w:i/>
          <w:lang w:val="en-US"/>
        </w:rPr>
        <w:t>TLS</w:t>
      </w:r>
      <w:r w:rsidRPr="00B13510">
        <w:rPr>
          <w:rFonts w:ascii="OrigGarmnd BT" w:hAnsi="OrigGarmnd BT"/>
          <w:lang w:val="en-US"/>
        </w:rPr>
        <w:t>, 15 November 1991), Terry Eagleton claimed that “the two worlds [the guests at the cocktail party vs. the violence going on offstage] simply occupy different theatrical spaces”. Do you agree?</w:t>
      </w:r>
      <w:r w:rsidR="00CD348B">
        <w:rPr>
          <w:rFonts w:ascii="OrigGarmnd BT" w:hAnsi="OrigGarmnd BT"/>
          <w:lang w:val="en-US"/>
        </w:rPr>
        <w:t xml:space="preserve"> What do you make of the use of space in the play?</w:t>
      </w:r>
    </w:p>
    <w:p w:rsidR="00100D09" w:rsidRPr="00B13510" w:rsidRDefault="00100D09" w:rsidP="00100D09">
      <w:pPr>
        <w:spacing w:after="0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42CB0" w:rsidRPr="00CB37CE" w:rsidTr="0090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442CB0" w:rsidRPr="00CB37CE" w:rsidRDefault="007E3E22" w:rsidP="005A3F46">
            <w:pPr>
              <w:spacing w:after="0" w:line="240" w:lineRule="auto"/>
              <w:rPr>
                <w:rFonts w:ascii="OrigGarmnd BT" w:hAnsi="OrigGarmnd BT"/>
              </w:rPr>
            </w:pPr>
            <w:proofErr w:type="spellStart"/>
            <w:r w:rsidRPr="00CB37CE">
              <w:rPr>
                <w:rFonts w:ascii="OrigGarmnd BT" w:hAnsi="OrigGarmnd BT"/>
                <w:color w:val="auto"/>
              </w:rPr>
              <w:t>A</w:t>
            </w:r>
            <w:r w:rsidR="005A3F46" w:rsidRPr="00CB37CE">
              <w:rPr>
                <w:rFonts w:ascii="OrigGarmnd BT" w:hAnsi="OrigGarmnd BT"/>
                <w:color w:val="auto"/>
              </w:rPr>
              <w:t>nswer</w:t>
            </w:r>
            <w:proofErr w:type="spellEnd"/>
          </w:p>
        </w:tc>
      </w:tr>
    </w:tbl>
    <w:p w:rsidR="00DF2D80" w:rsidRDefault="00DF2D80" w:rsidP="00760D64">
      <w:pPr>
        <w:spacing w:after="0"/>
        <w:jc w:val="both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8A4DCD" w:rsidRPr="008A4DCD" w:rsidRDefault="008A4DCD" w:rsidP="00760D64">
      <w:pPr>
        <w:spacing w:after="0"/>
        <w:jc w:val="both"/>
        <w:rPr>
          <w:rFonts w:ascii="OrigGarmnd BT" w:hAnsi="OrigGarmnd BT" w:cs="ArialMT"/>
          <w:b/>
          <w:color w:val="000000" w:themeColor="text1"/>
          <w:lang w:val="en-US"/>
        </w:rPr>
      </w:pPr>
      <w:r w:rsidRPr="008A4DCD">
        <w:rPr>
          <w:rFonts w:ascii="OrigGarmnd BT" w:hAnsi="OrigGarmnd BT" w:cs="ArialMT"/>
          <w:b/>
          <w:color w:val="000000" w:themeColor="text1"/>
          <w:lang w:val="en-US"/>
        </w:rPr>
        <w:t>Question 2</w:t>
      </w:r>
    </w:p>
    <w:p w:rsidR="008A4DCD" w:rsidRPr="008A4DCD" w:rsidRDefault="008A4DCD" w:rsidP="00760D64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8A4DCD">
        <w:rPr>
          <w:rFonts w:ascii="OrigGarmnd BT" w:hAnsi="OrigGarmnd BT" w:cs="ArialMT"/>
          <w:color w:val="000000" w:themeColor="text1"/>
          <w:lang w:val="en-US"/>
        </w:rPr>
        <w:t>Choose three review</w:t>
      </w:r>
      <w:r>
        <w:rPr>
          <w:rFonts w:ascii="OrigGarmnd BT" w:hAnsi="OrigGarmnd BT" w:cs="ArialMT"/>
          <w:color w:val="000000" w:themeColor="text1"/>
          <w:lang w:val="en-US"/>
        </w:rPr>
        <w:t>s</w:t>
      </w:r>
      <w:r w:rsidRPr="008A4DCD">
        <w:rPr>
          <w:rFonts w:ascii="OrigGarmnd BT" w:hAnsi="OrigGarmnd BT" w:cs="ArialMT"/>
          <w:color w:val="000000" w:themeColor="text1"/>
          <w:lang w:val="en-US"/>
        </w:rPr>
        <w:t xml:space="preserve"> of the original production of </w:t>
      </w:r>
      <w:r w:rsidRPr="008A4DCD">
        <w:rPr>
          <w:rFonts w:ascii="OrigGarmnd BT" w:hAnsi="OrigGarmnd BT" w:cs="ArialMT"/>
          <w:i/>
          <w:color w:val="000000" w:themeColor="text1"/>
          <w:lang w:val="en-US"/>
        </w:rPr>
        <w:t>Party Time</w:t>
      </w:r>
      <w:r w:rsidRPr="008A4DCD">
        <w:rPr>
          <w:rFonts w:ascii="OrigGarmnd BT" w:hAnsi="OrigGarmnd BT" w:cs="ArialMT"/>
          <w:color w:val="000000" w:themeColor="text1"/>
          <w:lang w:val="en-US"/>
        </w:rPr>
        <w:t xml:space="preserve"> at the Almeida Theatre, London, and examine the ways in which they praise, </w:t>
      </w:r>
      <w:proofErr w:type="spellStart"/>
      <w:r w:rsidRPr="008A4DCD">
        <w:rPr>
          <w:rFonts w:ascii="OrigGarmnd BT" w:hAnsi="OrigGarmnd BT" w:cs="ArialMT"/>
          <w:color w:val="000000" w:themeColor="text1"/>
          <w:lang w:val="en-US"/>
        </w:rPr>
        <w:t>criticise</w:t>
      </w:r>
      <w:proofErr w:type="spellEnd"/>
      <w:r w:rsidRPr="008A4DCD">
        <w:rPr>
          <w:rFonts w:ascii="OrigGarmnd BT" w:hAnsi="OrigGarmnd BT" w:cs="ArialMT"/>
          <w:color w:val="000000" w:themeColor="text1"/>
          <w:lang w:val="en-US"/>
        </w:rPr>
        <w:t xml:space="preserve"> or otherwise discuss the play. Do you see any common threads, any significant differences? What do you make of them and, more generally, of the ways the play is </w:t>
      </w:r>
      <w:r w:rsidR="0069050C">
        <w:rPr>
          <w:rFonts w:ascii="OrigGarmnd BT" w:hAnsi="OrigGarmnd BT" w:cs="ArialMT"/>
          <w:color w:val="000000" w:themeColor="text1"/>
          <w:lang w:val="en-US"/>
        </w:rPr>
        <w:t xml:space="preserve">addressed and </w:t>
      </w:r>
      <w:r w:rsidRPr="008A4DCD">
        <w:rPr>
          <w:rFonts w:ascii="OrigGarmnd BT" w:hAnsi="OrigGarmnd BT" w:cs="ArialMT"/>
          <w:color w:val="000000" w:themeColor="text1"/>
          <w:lang w:val="en-US"/>
        </w:rPr>
        <w:t>assessed?</w:t>
      </w:r>
    </w:p>
    <w:p w:rsidR="008A4DCD" w:rsidRPr="00B13510" w:rsidRDefault="008A4DCD" w:rsidP="008A4DCD">
      <w:pPr>
        <w:spacing w:after="0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A4DCD" w:rsidRPr="00CB37CE" w:rsidTr="00F4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8A4DCD" w:rsidRPr="00CB37CE" w:rsidRDefault="008A4DCD" w:rsidP="00F417CF">
            <w:pPr>
              <w:spacing w:after="0" w:line="240" w:lineRule="auto"/>
              <w:rPr>
                <w:rFonts w:ascii="OrigGarmnd BT" w:hAnsi="OrigGarmnd BT"/>
              </w:rPr>
            </w:pPr>
            <w:proofErr w:type="spellStart"/>
            <w:r w:rsidRPr="00CB37CE">
              <w:rPr>
                <w:rFonts w:ascii="OrigGarmnd BT" w:hAnsi="OrigGarmnd BT"/>
                <w:color w:val="auto"/>
              </w:rPr>
              <w:t>Answer</w:t>
            </w:r>
            <w:proofErr w:type="spellEnd"/>
          </w:p>
        </w:tc>
      </w:tr>
    </w:tbl>
    <w:p w:rsidR="008A4DCD" w:rsidRDefault="008A4DCD" w:rsidP="00760D64">
      <w:pPr>
        <w:spacing w:after="0"/>
        <w:jc w:val="both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D45403" w:rsidRDefault="00D45403" w:rsidP="00760D64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273C57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8A4DCD">
        <w:rPr>
          <w:rFonts w:ascii="OrigGarmnd BT" w:hAnsi="OrigGarmnd BT" w:cs="ArialMT"/>
          <w:b/>
          <w:color w:val="000000" w:themeColor="text1"/>
          <w:lang w:val="en-US"/>
        </w:rPr>
        <w:t>3</w:t>
      </w:r>
    </w:p>
    <w:p w:rsidR="00FE794B" w:rsidRDefault="00696B62" w:rsidP="00760D64">
      <w:pPr>
        <w:spacing w:after="0"/>
        <w:jc w:val="both"/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>Having read Judith Butler’s “Precarious Life, Vulnerability and the Ethics of Cohabitation” and David Harvey’s “Space a</w:t>
      </w:r>
      <w:r w:rsidR="00847D7B">
        <w:rPr>
          <w:rFonts w:ascii="OrigGarmnd BT" w:hAnsi="OrigGarmnd BT"/>
          <w:lang w:val="en-GB"/>
        </w:rPr>
        <w:t>s</w:t>
      </w:r>
      <w:r>
        <w:rPr>
          <w:rFonts w:ascii="OrigGarmnd BT" w:hAnsi="OrigGarmnd BT"/>
          <w:lang w:val="en-GB"/>
        </w:rPr>
        <w:t xml:space="preserve"> a Keyword”, how do you think they may </w:t>
      </w:r>
      <w:r w:rsidR="00481415">
        <w:rPr>
          <w:rFonts w:ascii="OrigGarmnd BT" w:hAnsi="OrigGarmnd BT"/>
          <w:lang w:val="en-GB"/>
        </w:rPr>
        <w:t>inform a reading of</w:t>
      </w:r>
      <w:r>
        <w:rPr>
          <w:rFonts w:ascii="OrigGarmnd BT" w:hAnsi="OrigGarmnd BT"/>
          <w:lang w:val="en-GB"/>
        </w:rPr>
        <w:t xml:space="preserve"> </w:t>
      </w:r>
      <w:r w:rsidRPr="00696B62">
        <w:rPr>
          <w:rFonts w:ascii="OrigGarmnd BT" w:hAnsi="OrigGarmnd BT"/>
          <w:i/>
          <w:lang w:val="en-GB"/>
        </w:rPr>
        <w:t>Party Time</w:t>
      </w:r>
      <w:r>
        <w:rPr>
          <w:rFonts w:ascii="OrigGarmnd BT" w:hAnsi="OrigGarmnd BT"/>
          <w:lang w:val="en-GB"/>
        </w:rPr>
        <w:t>?</w:t>
      </w:r>
      <w:r w:rsidR="0016431E">
        <w:rPr>
          <w:rFonts w:ascii="OrigGarmnd BT" w:hAnsi="OrigGarmnd BT"/>
          <w:lang w:val="en-GB"/>
        </w:rPr>
        <w:t xml:space="preserve"> Please be as precise as possible in your answer.</w:t>
      </w:r>
    </w:p>
    <w:p w:rsidR="004C4671" w:rsidRPr="00273C57" w:rsidRDefault="004C4671" w:rsidP="004C4671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D45403" w:rsidRPr="00CB37CE" w:rsidTr="00B13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D45403" w:rsidRPr="00CB37CE" w:rsidRDefault="006A6710" w:rsidP="001D1846">
            <w:pPr>
              <w:spacing w:after="0" w:line="240" w:lineRule="auto"/>
              <w:rPr>
                <w:rFonts w:ascii="OrigGarmnd BT" w:hAnsi="OrigGarmnd BT"/>
              </w:rPr>
            </w:pPr>
            <w:proofErr w:type="spellStart"/>
            <w:r>
              <w:rPr>
                <w:rFonts w:ascii="OrigGarmnd BT" w:hAnsi="OrigGarmnd BT"/>
                <w:color w:val="auto"/>
              </w:rPr>
              <w:t>A</w:t>
            </w:r>
            <w:r w:rsidR="00D45403" w:rsidRPr="00CB37CE">
              <w:rPr>
                <w:rFonts w:ascii="OrigGarmnd BT" w:hAnsi="OrigGarmnd BT"/>
                <w:color w:val="auto"/>
              </w:rPr>
              <w:t>nswer</w:t>
            </w:r>
            <w:proofErr w:type="spellEnd"/>
          </w:p>
        </w:tc>
      </w:tr>
    </w:tbl>
    <w:p w:rsidR="00996C32" w:rsidRDefault="00996C32" w:rsidP="00996C32">
      <w:pPr>
        <w:spacing w:after="0"/>
        <w:jc w:val="both"/>
        <w:rPr>
          <w:rFonts w:ascii="OrigGarmnd BT" w:hAnsi="OrigGarmnd BT" w:cs="ArialMT"/>
          <w:b/>
          <w:color w:val="000000" w:themeColor="text1"/>
        </w:rPr>
      </w:pPr>
    </w:p>
    <w:p w:rsidR="00E81C54" w:rsidRDefault="00E81C54">
      <w:pPr>
        <w:spacing w:after="0" w:line="240" w:lineRule="auto"/>
        <w:rPr>
          <w:rFonts w:ascii="OrigGarmnd BT" w:hAnsi="OrigGarmnd BT" w:cs="ArialMT"/>
          <w:b/>
          <w:color w:val="000000" w:themeColor="text1"/>
        </w:rPr>
      </w:pPr>
      <w:r>
        <w:rPr>
          <w:rFonts w:ascii="OrigGarmnd BT" w:hAnsi="OrigGarmnd BT" w:cs="ArialMT"/>
          <w:b/>
          <w:color w:val="000000" w:themeColor="text1"/>
        </w:rPr>
        <w:br w:type="page"/>
      </w:r>
    </w:p>
    <w:p w:rsidR="00404FAB" w:rsidRPr="00996C32" w:rsidRDefault="00E01220" w:rsidP="00996C32">
      <w:pPr>
        <w:spacing w:after="0"/>
        <w:jc w:val="both"/>
        <w:rPr>
          <w:rFonts w:ascii="OrigGarmnd BT" w:hAnsi="OrigGarmnd BT" w:cs="ArialMT"/>
          <w:b/>
          <w:color w:val="000000" w:themeColor="text1"/>
        </w:rPr>
      </w:pPr>
      <w:proofErr w:type="spellStart"/>
      <w:r w:rsidRPr="00996C32">
        <w:rPr>
          <w:rFonts w:ascii="OrigGarmnd BT" w:hAnsi="OrigGarmnd BT" w:cs="ArialMT"/>
          <w:b/>
          <w:color w:val="000000" w:themeColor="text1"/>
        </w:rPr>
        <w:lastRenderedPageBreak/>
        <w:t>Question</w:t>
      </w:r>
      <w:proofErr w:type="spellEnd"/>
      <w:r w:rsidRPr="00996C32">
        <w:rPr>
          <w:rFonts w:ascii="OrigGarmnd BT" w:hAnsi="OrigGarmnd BT" w:cs="ArialMT"/>
          <w:b/>
          <w:color w:val="000000" w:themeColor="text1"/>
        </w:rPr>
        <w:t xml:space="preserve"> 4</w:t>
      </w:r>
    </w:p>
    <w:p w:rsidR="006F6C7C" w:rsidRDefault="00763E97" w:rsidP="006F6C7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33098E">
        <w:rPr>
          <w:rFonts w:ascii="OrigGarmnd BT" w:hAnsi="OrigGarmnd BT" w:cs="ArialMT"/>
          <w:color w:val="000000" w:themeColor="text1"/>
          <w:u w:val="single"/>
          <w:lang w:val="en-US"/>
        </w:rPr>
        <w:t>Option A: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 xml:space="preserve"> do some online research, select two images from </w:t>
      </w:r>
      <w:r w:rsidR="00ED5E69">
        <w:rPr>
          <w:rFonts w:ascii="OrigGarmnd BT" w:hAnsi="OrigGarmnd BT" w:cs="ArialMT"/>
          <w:color w:val="000000" w:themeColor="text1"/>
          <w:lang w:val="en-US"/>
        </w:rPr>
        <w:t xml:space="preserve">two different 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 xml:space="preserve">productions of </w:t>
      </w:r>
      <w:r w:rsidR="007E248A" w:rsidRPr="0033098E">
        <w:rPr>
          <w:rFonts w:ascii="OrigGarmnd BT" w:hAnsi="OrigGarmnd BT" w:cs="ArialMT"/>
          <w:i/>
          <w:color w:val="000000" w:themeColor="text1"/>
          <w:lang w:val="en-US"/>
        </w:rPr>
        <w:t>Party Time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 xml:space="preserve"> (production poster, performance photo, etc.) and discuss the significance of the c</w:t>
      </w:r>
      <w:r w:rsidR="005845C0" w:rsidRPr="0033098E">
        <w:rPr>
          <w:rFonts w:ascii="OrigGarmnd BT" w:hAnsi="OrigGarmnd BT" w:cs="ArialMT"/>
          <w:color w:val="000000" w:themeColor="text1"/>
          <w:lang w:val="en-US"/>
        </w:rPr>
        <w:t>h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>oices made by the creative team</w:t>
      </w:r>
      <w:r w:rsidRPr="0033098E">
        <w:rPr>
          <w:rFonts w:ascii="OrigGarmnd BT" w:hAnsi="OrigGarmnd BT" w:cs="ArialMT"/>
          <w:color w:val="000000" w:themeColor="text1"/>
          <w:lang w:val="en-US"/>
        </w:rPr>
        <w:t xml:space="preserve">. Please include </w:t>
      </w:r>
      <w:r w:rsidR="006E0BA3">
        <w:rPr>
          <w:rFonts w:ascii="OrigGarmnd BT" w:hAnsi="OrigGarmnd BT" w:cs="ArialMT"/>
          <w:color w:val="000000" w:themeColor="text1"/>
          <w:lang w:val="en-US"/>
        </w:rPr>
        <w:t>both</w:t>
      </w:r>
      <w:r w:rsidRPr="0033098E">
        <w:rPr>
          <w:rFonts w:ascii="OrigGarmnd BT" w:hAnsi="OrigGarmnd BT" w:cs="ArialMT"/>
          <w:color w:val="000000" w:themeColor="text1"/>
          <w:lang w:val="en-US"/>
        </w:rPr>
        <w:t xml:space="preserve"> images </w:t>
      </w:r>
      <w:r w:rsidR="006E0BA3">
        <w:rPr>
          <w:rFonts w:ascii="OrigGarmnd BT" w:hAnsi="OrigGarmnd BT" w:cs="ArialMT"/>
          <w:color w:val="000000" w:themeColor="text1"/>
          <w:lang w:val="en-US"/>
        </w:rPr>
        <w:t>in</w:t>
      </w:r>
      <w:r w:rsidRPr="0033098E">
        <w:rPr>
          <w:rFonts w:ascii="OrigGarmnd BT" w:hAnsi="OrigGarmnd BT" w:cs="ArialMT"/>
          <w:color w:val="000000" w:themeColor="text1"/>
          <w:lang w:val="en-US"/>
        </w:rPr>
        <w:t xml:space="preserve"> your answer and identify them clearly by means of caption</w:t>
      </w:r>
      <w:r w:rsidR="00E33D68">
        <w:rPr>
          <w:rFonts w:ascii="OrigGarmnd BT" w:hAnsi="OrigGarmnd BT" w:cs="ArialMT"/>
          <w:color w:val="000000" w:themeColor="text1"/>
          <w:lang w:val="en-US"/>
        </w:rPr>
        <w:t>s</w:t>
      </w:r>
      <w:r w:rsidRPr="0033098E">
        <w:rPr>
          <w:rFonts w:ascii="OrigGarmnd BT" w:hAnsi="OrigGarmnd BT" w:cs="ArialMT"/>
          <w:color w:val="000000" w:themeColor="text1"/>
          <w:lang w:val="en-US"/>
        </w:rPr>
        <w:t>.</w:t>
      </w:r>
    </w:p>
    <w:p w:rsidR="007E248A" w:rsidRPr="0033098E" w:rsidRDefault="00763E97" w:rsidP="006F6C7C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  <w:r w:rsidRPr="0033098E">
        <w:rPr>
          <w:rFonts w:ascii="OrigGarmnd BT" w:hAnsi="OrigGarmnd BT" w:cs="ArialMT"/>
          <w:color w:val="000000" w:themeColor="text1"/>
          <w:u w:val="single"/>
          <w:lang w:val="en-US"/>
        </w:rPr>
        <w:t>Option B:</w:t>
      </w:r>
      <w:r w:rsidRPr="0033098E">
        <w:rPr>
          <w:rFonts w:ascii="OrigGarmnd BT" w:hAnsi="OrigGarmnd BT" w:cs="ArialMT"/>
          <w:color w:val="000000" w:themeColor="text1"/>
          <w:lang w:val="en-US"/>
        </w:rPr>
        <w:t xml:space="preserve"> after 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>watch</w:t>
      </w:r>
      <w:r w:rsidRPr="0033098E">
        <w:rPr>
          <w:rFonts w:ascii="OrigGarmnd BT" w:hAnsi="OrigGarmnd BT" w:cs="ArialMT"/>
          <w:color w:val="000000" w:themeColor="text1"/>
          <w:lang w:val="en-US"/>
        </w:rPr>
        <w:t>ing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 xml:space="preserve"> the performance of Jimmy’s final speech at https://www.youtube.com/watch?v=wkL5q7enl4o</w:t>
      </w:r>
      <w:r w:rsidRPr="0033098E">
        <w:rPr>
          <w:rFonts w:ascii="OrigGarmnd BT" w:hAnsi="OrigGarmnd BT" w:cs="ArialMT"/>
          <w:color w:val="000000" w:themeColor="text1"/>
          <w:lang w:val="en-US"/>
        </w:rPr>
        <w:t>,</w:t>
      </w:r>
      <w:r w:rsidR="007E248A" w:rsidRPr="0033098E">
        <w:rPr>
          <w:rFonts w:ascii="OrigGarmnd BT" w:hAnsi="OrigGarmnd BT" w:cs="ArialMT"/>
          <w:color w:val="000000" w:themeColor="text1"/>
          <w:lang w:val="en-US"/>
        </w:rPr>
        <w:t xml:space="preserve"> discuss</w:t>
      </w:r>
      <w:r w:rsidRPr="0033098E">
        <w:rPr>
          <w:rFonts w:ascii="OrigGarmnd BT" w:hAnsi="OrigGarmnd BT" w:cs="ArialMT"/>
          <w:color w:val="000000" w:themeColor="text1"/>
          <w:lang w:val="en-US"/>
        </w:rPr>
        <w:t xml:space="preserve"> the significance of the speech within the play and</w:t>
      </w:r>
      <w:r w:rsidR="00547B4E">
        <w:rPr>
          <w:rFonts w:ascii="OrigGarmnd BT" w:hAnsi="OrigGarmnd BT" w:cs="ArialMT"/>
          <w:color w:val="000000" w:themeColor="text1"/>
          <w:lang w:val="en-US"/>
        </w:rPr>
        <w:t xml:space="preserve"> the choices made by the actor in this particular performance.</w:t>
      </w:r>
    </w:p>
    <w:p w:rsidR="00A5711F" w:rsidRDefault="00A5711F" w:rsidP="00C84909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E81C54" w:rsidRPr="00CB37CE" w:rsidTr="0038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E81C54" w:rsidRPr="00CB37CE" w:rsidRDefault="00E81C54" w:rsidP="00384DF9">
            <w:pPr>
              <w:spacing w:after="0" w:line="240" w:lineRule="auto"/>
              <w:rPr>
                <w:rFonts w:ascii="OrigGarmnd BT" w:hAnsi="OrigGarmnd BT"/>
              </w:rPr>
            </w:pPr>
            <w:proofErr w:type="spellStart"/>
            <w:r>
              <w:rPr>
                <w:rFonts w:ascii="OrigGarmnd BT" w:hAnsi="OrigGarmnd BT"/>
                <w:color w:val="auto"/>
              </w:rPr>
              <w:t>A</w:t>
            </w:r>
            <w:r w:rsidRPr="00CB37CE">
              <w:rPr>
                <w:rFonts w:ascii="OrigGarmnd BT" w:hAnsi="OrigGarmnd BT"/>
                <w:color w:val="auto"/>
              </w:rPr>
              <w:t>nswer</w:t>
            </w:r>
            <w:proofErr w:type="spellEnd"/>
          </w:p>
        </w:tc>
      </w:tr>
    </w:tbl>
    <w:p w:rsidR="00E81C54" w:rsidRDefault="00E81C54" w:rsidP="00C84909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</w:p>
    <w:p w:rsidR="00C84909" w:rsidRPr="007E248A" w:rsidRDefault="00C84909" w:rsidP="00C84909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7E248A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C467BA" w:rsidRPr="007E248A">
        <w:rPr>
          <w:rFonts w:ascii="OrigGarmnd BT" w:hAnsi="OrigGarmnd BT" w:cs="ArialMT"/>
          <w:b/>
          <w:color w:val="000000" w:themeColor="text1"/>
          <w:lang w:val="en-US"/>
        </w:rPr>
        <w:t>5</w:t>
      </w:r>
    </w:p>
    <w:p w:rsidR="00C84909" w:rsidRDefault="00C84909" w:rsidP="00C84909">
      <w:pPr>
        <w:spacing w:after="0"/>
        <w:jc w:val="both"/>
        <w:rPr>
          <w:rFonts w:ascii="OrigGarmnd BT" w:hAnsi="OrigGarmnd BT"/>
          <w:lang w:val="en-GB"/>
        </w:rPr>
      </w:pPr>
      <w:r w:rsidRPr="00C84909">
        <w:rPr>
          <w:rFonts w:ascii="OrigGarmnd BT" w:hAnsi="OrigGarmnd BT"/>
          <w:lang w:val="en-GB"/>
        </w:rPr>
        <w:t>Do some research on the various p</w:t>
      </w:r>
      <w:r w:rsidR="00AF35F4">
        <w:rPr>
          <w:rFonts w:ascii="OrigGarmnd BT" w:hAnsi="OrigGarmnd BT"/>
          <w:lang w:val="en-GB"/>
        </w:rPr>
        <w:t>roductions</w:t>
      </w:r>
      <w:r w:rsidRPr="00C84909">
        <w:rPr>
          <w:rFonts w:ascii="OrigGarmnd BT" w:hAnsi="OrigGarmnd BT"/>
          <w:lang w:val="en-GB"/>
        </w:rPr>
        <w:t xml:space="preserve"> of </w:t>
      </w:r>
      <w:r w:rsidR="00B131C2" w:rsidRPr="00B131C2">
        <w:rPr>
          <w:rFonts w:ascii="OrigGarmnd BT" w:hAnsi="OrigGarmnd BT"/>
          <w:i/>
          <w:lang w:val="en-GB"/>
        </w:rPr>
        <w:t>Far Away</w:t>
      </w:r>
      <w:r w:rsidRPr="00C84909">
        <w:rPr>
          <w:rFonts w:ascii="OrigGarmnd BT" w:hAnsi="OrigGarmnd BT"/>
          <w:lang w:val="en-GB"/>
        </w:rPr>
        <w:t xml:space="preserve"> in Britain, the US and </w:t>
      </w:r>
      <w:proofErr w:type="gramStart"/>
      <w:r w:rsidRPr="00C84909">
        <w:rPr>
          <w:rFonts w:ascii="OrigGarmnd BT" w:hAnsi="OrigGarmnd BT"/>
          <w:lang w:val="en-GB"/>
        </w:rPr>
        <w:t>beyond.</w:t>
      </w:r>
      <w:proofErr w:type="gramEnd"/>
      <w:r w:rsidRPr="00C84909">
        <w:rPr>
          <w:rFonts w:ascii="OrigGarmnd BT" w:hAnsi="OrigGarmnd BT"/>
          <w:lang w:val="en-GB"/>
        </w:rPr>
        <w:t xml:space="preserve"> Choose two of them and discuss the significance of the choices made by the creative team. Please include i</w:t>
      </w:r>
      <w:r w:rsidR="003710ED">
        <w:rPr>
          <w:rFonts w:ascii="OrigGarmnd BT" w:hAnsi="OrigGarmnd BT"/>
          <w:lang w:val="en-GB"/>
        </w:rPr>
        <w:t>mages to support your arguments and identify them clearly</w:t>
      </w:r>
      <w:r w:rsidR="008C7A29">
        <w:rPr>
          <w:rFonts w:ascii="OrigGarmnd BT" w:hAnsi="OrigGarmnd BT"/>
          <w:lang w:val="en-GB"/>
        </w:rPr>
        <w:t xml:space="preserve"> by means of caption</w:t>
      </w:r>
      <w:r w:rsidR="00EF2480">
        <w:rPr>
          <w:rFonts w:ascii="OrigGarmnd BT" w:hAnsi="OrigGarmnd BT"/>
          <w:lang w:val="en-GB"/>
        </w:rPr>
        <w:t>s</w:t>
      </w:r>
      <w:r w:rsidR="008C7A29">
        <w:rPr>
          <w:rFonts w:ascii="OrigGarmnd BT" w:hAnsi="OrigGarmnd BT"/>
          <w:lang w:val="en-GB"/>
        </w:rPr>
        <w:t>.</w:t>
      </w:r>
    </w:p>
    <w:p w:rsidR="00B770CB" w:rsidRPr="00C84909" w:rsidRDefault="00B770CB" w:rsidP="00C84909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B770CB" w:rsidRPr="00CB37CE" w:rsidTr="00F4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B770CB" w:rsidRPr="00CB37CE" w:rsidRDefault="00B770CB" w:rsidP="00F417CF">
            <w:pPr>
              <w:spacing w:after="0" w:line="240" w:lineRule="auto"/>
              <w:rPr>
                <w:rFonts w:ascii="OrigGarmnd BT" w:hAnsi="OrigGarmnd BT"/>
              </w:rPr>
            </w:pPr>
            <w:proofErr w:type="spellStart"/>
            <w:r>
              <w:rPr>
                <w:rFonts w:ascii="OrigGarmnd BT" w:hAnsi="OrigGarmnd BT"/>
                <w:color w:val="auto"/>
              </w:rPr>
              <w:t>A</w:t>
            </w:r>
            <w:r w:rsidRPr="00CB37CE">
              <w:rPr>
                <w:rFonts w:ascii="OrigGarmnd BT" w:hAnsi="OrigGarmnd BT"/>
                <w:color w:val="auto"/>
              </w:rPr>
              <w:t>nswer</w:t>
            </w:r>
            <w:proofErr w:type="spellEnd"/>
          </w:p>
        </w:tc>
      </w:tr>
    </w:tbl>
    <w:p w:rsidR="00B770CB" w:rsidRDefault="00B770CB" w:rsidP="00D512E8">
      <w:pPr>
        <w:spacing w:after="0"/>
        <w:jc w:val="both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7E2D46" w:rsidRPr="007E2D46" w:rsidRDefault="007E2D46" w:rsidP="00D512E8">
      <w:pPr>
        <w:spacing w:after="0"/>
        <w:jc w:val="both"/>
        <w:rPr>
          <w:rFonts w:ascii="OrigGarmnd BT" w:hAnsi="OrigGarmnd BT"/>
          <w:b/>
          <w:lang w:val="en-GB"/>
        </w:rPr>
      </w:pPr>
      <w:r w:rsidRPr="007E2D46">
        <w:rPr>
          <w:rFonts w:ascii="OrigGarmnd BT" w:hAnsi="OrigGarmnd BT"/>
          <w:b/>
          <w:lang w:val="en-GB"/>
        </w:rPr>
        <w:t xml:space="preserve">Question </w:t>
      </w:r>
      <w:r w:rsidR="00E01220">
        <w:rPr>
          <w:rFonts w:ascii="OrigGarmnd BT" w:hAnsi="OrigGarmnd BT"/>
          <w:b/>
          <w:lang w:val="en-GB"/>
        </w:rPr>
        <w:t>6</w:t>
      </w:r>
    </w:p>
    <w:p w:rsidR="007E532A" w:rsidRDefault="007E532A" w:rsidP="00D512E8">
      <w:pPr>
        <w:spacing w:after="0"/>
        <w:jc w:val="both"/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 xml:space="preserve">Having read Judith Butler’s “Precarious Life, Vulnerability and the Ethics of Cohabitation” and David Harvey’s “Space and a Keyword”, how do you think they may </w:t>
      </w:r>
      <w:r w:rsidR="00EA5728">
        <w:rPr>
          <w:rFonts w:ascii="OrigGarmnd BT" w:hAnsi="OrigGarmnd BT"/>
          <w:lang w:val="en-GB"/>
        </w:rPr>
        <w:t>inform a reading of</w:t>
      </w:r>
      <w:r>
        <w:rPr>
          <w:rFonts w:ascii="OrigGarmnd BT" w:hAnsi="OrigGarmnd BT"/>
          <w:lang w:val="en-GB"/>
        </w:rPr>
        <w:t xml:space="preserve"> </w:t>
      </w:r>
      <w:r>
        <w:rPr>
          <w:rFonts w:ascii="OrigGarmnd BT" w:hAnsi="OrigGarmnd BT"/>
          <w:i/>
          <w:lang w:val="en-GB"/>
        </w:rPr>
        <w:t>Far Away</w:t>
      </w:r>
      <w:r>
        <w:rPr>
          <w:rFonts w:ascii="OrigGarmnd BT" w:hAnsi="OrigGarmnd BT"/>
          <w:lang w:val="en-GB"/>
        </w:rPr>
        <w:t xml:space="preserve">? Please </w:t>
      </w:r>
      <w:r w:rsidR="0040200C">
        <w:rPr>
          <w:rFonts w:ascii="OrigGarmnd BT" w:hAnsi="OrigGarmnd BT"/>
          <w:lang w:val="en-GB"/>
        </w:rPr>
        <w:t>make your answer</w:t>
      </w:r>
      <w:r>
        <w:rPr>
          <w:rFonts w:ascii="OrigGarmnd BT" w:hAnsi="OrigGarmnd BT"/>
          <w:lang w:val="en-GB"/>
        </w:rPr>
        <w:t xml:space="preserve"> as precise as possible</w:t>
      </w:r>
      <w:r w:rsidR="0040200C">
        <w:rPr>
          <w:rFonts w:ascii="OrigGarmnd BT" w:hAnsi="OrigGarmnd BT"/>
          <w:lang w:val="en-GB"/>
        </w:rPr>
        <w:t>.</w:t>
      </w:r>
    </w:p>
    <w:p w:rsidR="00393885" w:rsidRPr="00C84909" w:rsidRDefault="00393885" w:rsidP="007E2D46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7E532A" w:rsidRPr="0040200C" w:rsidTr="00F4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7E532A" w:rsidRPr="0040200C" w:rsidRDefault="007E532A" w:rsidP="00F417CF">
            <w:pPr>
              <w:spacing w:after="0" w:line="240" w:lineRule="auto"/>
              <w:rPr>
                <w:rFonts w:ascii="OrigGarmnd BT" w:hAnsi="OrigGarmnd BT"/>
                <w:lang w:val="en-US"/>
              </w:rPr>
            </w:pPr>
            <w:r w:rsidRPr="0040200C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7E532A" w:rsidRPr="0040200C" w:rsidRDefault="007E532A" w:rsidP="00C35DFE">
      <w:pPr>
        <w:spacing w:after="0"/>
        <w:jc w:val="both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E70FDC" w:rsidRPr="00C33B91" w:rsidRDefault="00E70FDC" w:rsidP="00C35DFE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C33B91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E01220">
        <w:rPr>
          <w:rFonts w:ascii="OrigGarmnd BT" w:hAnsi="OrigGarmnd BT" w:cs="ArialMT"/>
          <w:b/>
          <w:color w:val="000000" w:themeColor="text1"/>
          <w:lang w:val="en-US"/>
        </w:rPr>
        <w:t>7</w:t>
      </w:r>
    </w:p>
    <w:p w:rsidR="00D5614E" w:rsidRDefault="0041728A" w:rsidP="00C35DFE">
      <w:pPr>
        <w:spacing w:after="0"/>
        <w:jc w:val="both"/>
        <w:rPr>
          <w:rFonts w:ascii="OrigGarmnd BT" w:hAnsi="OrigGarmnd BT" w:cs="ArialMT"/>
          <w:color w:val="000000" w:themeColor="text1"/>
          <w:lang w:val="en-US"/>
        </w:rPr>
      </w:pPr>
      <w:r>
        <w:rPr>
          <w:rFonts w:ascii="OrigGarmnd BT" w:hAnsi="OrigGarmnd BT" w:cs="ArialMT"/>
          <w:color w:val="000000" w:themeColor="text1"/>
          <w:lang w:val="en-US"/>
        </w:rPr>
        <w:t xml:space="preserve">Discuss the structure of </w:t>
      </w:r>
      <w:r w:rsidRPr="00FD0029">
        <w:rPr>
          <w:rFonts w:ascii="OrigGarmnd BT" w:hAnsi="OrigGarmnd BT" w:cs="ArialMT"/>
          <w:i/>
          <w:color w:val="000000" w:themeColor="text1"/>
          <w:lang w:val="en-US"/>
        </w:rPr>
        <w:t>Far Away</w:t>
      </w:r>
      <w:r>
        <w:rPr>
          <w:rFonts w:ascii="OrigGarmnd BT" w:hAnsi="OrigGarmnd BT" w:cs="ArialMT"/>
          <w:color w:val="000000" w:themeColor="text1"/>
          <w:lang w:val="en-US"/>
        </w:rPr>
        <w:t xml:space="preserve"> in the light of Brian Richardson’s “Plot after Postmodernism”. </w:t>
      </w:r>
      <w:r w:rsidR="00ED2DB4">
        <w:rPr>
          <w:rFonts w:ascii="OrigGarmnd BT" w:hAnsi="OrigGarmnd BT" w:cs="ArialMT"/>
          <w:color w:val="000000" w:themeColor="text1"/>
          <w:lang w:val="en-US"/>
        </w:rPr>
        <w:t xml:space="preserve">In what ways does the play erode the traditional nature and function of plot? </w:t>
      </w:r>
      <w:r w:rsidR="00DB16C0">
        <w:rPr>
          <w:rFonts w:ascii="OrigGarmnd BT" w:hAnsi="OrigGarmnd BT" w:cs="ArialMT"/>
          <w:color w:val="000000" w:themeColor="text1"/>
          <w:lang w:val="en-US"/>
        </w:rPr>
        <w:t>Why do you think Churchill chose this (experimental) structure?</w:t>
      </w:r>
    </w:p>
    <w:p w:rsidR="00ED2DB4" w:rsidRPr="00927AD8" w:rsidRDefault="00ED2DB4" w:rsidP="00D5614E">
      <w:pPr>
        <w:spacing w:after="0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C33B91" w:rsidRPr="0041728A" w:rsidTr="00F4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C33B91" w:rsidRPr="0041728A" w:rsidRDefault="00C33B91" w:rsidP="00F417CF">
            <w:pPr>
              <w:spacing w:after="0" w:line="240" w:lineRule="auto"/>
              <w:rPr>
                <w:rFonts w:ascii="OrigGarmnd BT" w:hAnsi="OrigGarmnd BT"/>
                <w:lang w:val="en-US"/>
              </w:rPr>
            </w:pPr>
            <w:r w:rsidRPr="0041728A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C33B91" w:rsidRDefault="00C33B91" w:rsidP="0054607C">
      <w:pPr>
        <w:spacing w:after="0"/>
        <w:jc w:val="both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ED2DB4" w:rsidRPr="00925A00" w:rsidRDefault="00ED2DB4" w:rsidP="0054607C">
      <w:pPr>
        <w:spacing w:after="0"/>
        <w:rPr>
          <w:rFonts w:ascii="OrigGarmnd BT" w:hAnsi="OrigGarmnd BT" w:cs="ArialMT"/>
          <w:b/>
          <w:color w:val="000000" w:themeColor="text1"/>
          <w:lang w:val="en-US"/>
        </w:rPr>
      </w:pPr>
      <w:r w:rsidRPr="00925A00">
        <w:rPr>
          <w:rFonts w:ascii="OrigGarmnd BT" w:hAnsi="OrigGarmnd BT" w:cs="ArialMT"/>
          <w:b/>
          <w:color w:val="000000" w:themeColor="text1"/>
          <w:lang w:val="en-US"/>
        </w:rPr>
        <w:t xml:space="preserve">Question </w:t>
      </w:r>
      <w:r w:rsidR="00E01220">
        <w:rPr>
          <w:rFonts w:ascii="OrigGarmnd BT" w:hAnsi="OrigGarmnd BT" w:cs="ArialMT"/>
          <w:b/>
          <w:color w:val="000000" w:themeColor="text1"/>
          <w:lang w:val="en-US"/>
        </w:rPr>
        <w:t>8</w:t>
      </w:r>
    </w:p>
    <w:p w:rsidR="006F6C7C" w:rsidRDefault="00ED2DB4" w:rsidP="0054607C">
      <w:pPr>
        <w:spacing w:after="0"/>
        <w:jc w:val="both"/>
        <w:rPr>
          <w:rFonts w:ascii="OrigGarmnd BT" w:hAnsi="OrigGarmnd BT"/>
          <w:lang w:val="en-US"/>
        </w:rPr>
      </w:pPr>
      <w:r w:rsidRPr="00925A00">
        <w:rPr>
          <w:rFonts w:ascii="OrigGarmnd BT" w:hAnsi="OrigGarmnd BT" w:cs="ArialMT"/>
          <w:color w:val="000000" w:themeColor="text1"/>
          <w:lang w:val="en-US"/>
        </w:rPr>
        <w:t xml:space="preserve">Do you see any connections between the three parts that make up </w:t>
      </w:r>
      <w:r w:rsidRPr="00925A00">
        <w:rPr>
          <w:rFonts w:ascii="OrigGarmnd BT" w:hAnsi="OrigGarmnd BT" w:cs="ArialMT"/>
          <w:i/>
          <w:color w:val="000000" w:themeColor="text1"/>
          <w:lang w:val="en-US"/>
        </w:rPr>
        <w:t>Far Away</w:t>
      </w:r>
      <w:r w:rsidRPr="00925A00">
        <w:rPr>
          <w:rFonts w:ascii="OrigGarmnd BT" w:hAnsi="OrigGarmnd BT" w:cs="ArialMT"/>
          <w:color w:val="000000" w:themeColor="text1"/>
          <w:lang w:val="en-US"/>
        </w:rPr>
        <w:t xml:space="preserve"> and, if so, how do</w:t>
      </w:r>
      <w:r w:rsidRPr="00925A00">
        <w:rPr>
          <w:rFonts w:ascii="OrigGarmnd BT" w:hAnsi="OrigGarmnd BT"/>
          <w:lang w:val="en-US"/>
        </w:rPr>
        <w:t xml:space="preserve"> they contribute to the meaning and experience of the play?</w:t>
      </w:r>
    </w:p>
    <w:p w:rsidR="00506AD0" w:rsidRDefault="00506AD0" w:rsidP="0054607C">
      <w:pPr>
        <w:spacing w:after="0"/>
        <w:jc w:val="both"/>
        <w:rPr>
          <w:rFonts w:ascii="OrigGarmnd BT" w:hAnsi="OrigGarmnd BT"/>
          <w:lang w:val="en-US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5E52FF" w:rsidRPr="0041728A" w:rsidTr="0038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:rsidR="005E52FF" w:rsidRPr="0041728A" w:rsidRDefault="005E52FF" w:rsidP="00384DF9">
            <w:pPr>
              <w:spacing w:after="0" w:line="240" w:lineRule="auto"/>
              <w:rPr>
                <w:rFonts w:ascii="OrigGarmnd BT" w:hAnsi="OrigGarmnd BT"/>
                <w:lang w:val="en-US"/>
              </w:rPr>
            </w:pPr>
            <w:r w:rsidRPr="0041728A">
              <w:rPr>
                <w:rFonts w:ascii="OrigGarmnd BT" w:hAnsi="OrigGarmnd BT"/>
                <w:color w:val="auto"/>
                <w:lang w:val="en-US"/>
              </w:rPr>
              <w:t>Answer</w:t>
            </w:r>
          </w:p>
        </w:tc>
      </w:tr>
    </w:tbl>
    <w:p w:rsidR="007E48CA" w:rsidRDefault="007E48CA" w:rsidP="00C33B91">
      <w:pPr>
        <w:spacing w:after="0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7E48CA" w:rsidRDefault="007E48CA" w:rsidP="007E48CA">
      <w:pPr>
        <w:spacing w:after="120"/>
        <w:jc w:val="both"/>
        <w:rPr>
          <w:rFonts w:ascii="OrigGarmnd BT" w:hAnsi="OrigGarmnd BT" w:cs="ArialMT"/>
          <w:color w:val="000000" w:themeColor="text1"/>
          <w:sz w:val="24"/>
          <w:szCs w:val="24"/>
        </w:rPr>
      </w:pPr>
    </w:p>
    <w:p w:rsidR="007E48CA" w:rsidRDefault="007E48CA" w:rsidP="007E48CA">
      <w:pPr>
        <w:spacing w:after="0"/>
        <w:jc w:val="both"/>
        <w:rPr>
          <w:rFonts w:ascii="OrigGarmnd BT" w:hAnsi="OrigGarmnd BT"/>
          <w:lang w:val="en-GB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7E48CA" w:rsidRPr="00512596" w:rsidTr="007E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7E48CA" w:rsidRPr="007E48CA" w:rsidRDefault="007E48CA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  <w:r w:rsidRPr="007E48CA">
              <w:rPr>
                <w:rFonts w:ascii="OrigGarmnd BT" w:hAnsi="OrigGarmnd BT"/>
                <w:color w:val="auto"/>
                <w:lang w:val="en-US"/>
              </w:rPr>
              <w:lastRenderedPageBreak/>
              <w:t>Works Cited</w:t>
            </w:r>
          </w:p>
          <w:p w:rsidR="007E48CA" w:rsidRPr="007E48CA" w:rsidRDefault="007E48CA">
            <w:pPr>
              <w:spacing w:after="0" w:line="240" w:lineRule="auto"/>
              <w:rPr>
                <w:rFonts w:ascii="OrigGarmnd BT" w:hAnsi="OrigGarmnd BT"/>
                <w:color w:val="auto"/>
                <w:lang w:val="en-US"/>
              </w:rPr>
            </w:pPr>
          </w:p>
          <w:p w:rsidR="007E48CA" w:rsidRDefault="00873D01">
            <w:pPr>
              <w:spacing w:after="0" w:line="240" w:lineRule="auto"/>
              <w:rPr>
                <w:rFonts w:ascii="OrigGarmnd BT" w:hAnsi="OrigGarmnd BT"/>
                <w:b w:val="0"/>
                <w:lang w:val="en-US"/>
              </w:rPr>
            </w:pPr>
            <w:r>
              <w:rPr>
                <w:rFonts w:ascii="OrigGarmnd BT" w:hAnsi="OrigGarmnd BT"/>
                <w:color w:val="FF0000"/>
                <w:lang w:val="en-US"/>
              </w:rPr>
              <w:t xml:space="preserve">Please </w:t>
            </w:r>
            <w:r>
              <w:rPr>
                <w:rFonts w:ascii="OrigGarmnd BT" w:hAnsi="OrigGarmnd BT"/>
                <w:b w:val="0"/>
                <w:color w:val="FF0000"/>
                <w:lang w:val="en-US"/>
              </w:rPr>
              <w:t>follow the format used in the Selected Further Reading list below</w:t>
            </w:r>
          </w:p>
        </w:tc>
      </w:tr>
    </w:tbl>
    <w:p w:rsidR="007E48CA" w:rsidRDefault="007E48CA" w:rsidP="007E48CA">
      <w:pPr>
        <w:spacing w:after="120"/>
        <w:jc w:val="both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</w:p>
    <w:p w:rsidR="007C1284" w:rsidRPr="007E532A" w:rsidRDefault="007C1284" w:rsidP="00C33B91">
      <w:pPr>
        <w:spacing w:after="0"/>
        <w:rPr>
          <w:rFonts w:ascii="OrigGarmnd BT" w:hAnsi="OrigGarmnd BT" w:cs="ArialMT"/>
          <w:color w:val="000000" w:themeColor="text1"/>
          <w:sz w:val="24"/>
          <w:szCs w:val="24"/>
          <w:lang w:val="en-US"/>
        </w:rPr>
      </w:pPr>
      <w:r w:rsidRPr="007E532A">
        <w:rPr>
          <w:rFonts w:ascii="OrigGarmnd BT" w:hAnsi="OrigGarmnd BT" w:cs="ArialMT"/>
          <w:color w:val="000000" w:themeColor="text1"/>
          <w:sz w:val="24"/>
          <w:szCs w:val="24"/>
          <w:lang w:val="en-US"/>
        </w:rPr>
        <w:br w:type="page"/>
      </w:r>
    </w:p>
    <w:p w:rsidR="00783A38" w:rsidRPr="00B463AF" w:rsidRDefault="00BC4F54" w:rsidP="00783A38">
      <w:pPr>
        <w:spacing w:after="120"/>
        <w:jc w:val="both"/>
        <w:rPr>
          <w:rFonts w:ascii="OrigGarmnd BT" w:hAnsi="OrigGarmnd BT"/>
          <w:b/>
          <w:color w:val="000000" w:themeColor="text1"/>
          <w:sz w:val="24"/>
          <w:szCs w:val="24"/>
          <w:lang w:val="en-US"/>
        </w:rPr>
      </w:pPr>
      <w:r>
        <w:rPr>
          <w:rFonts w:ascii="OrigGarmnd BT" w:hAnsi="OrigGarmnd BT"/>
          <w:b/>
          <w:color w:val="000000" w:themeColor="text1"/>
          <w:sz w:val="24"/>
          <w:szCs w:val="24"/>
          <w:lang w:val="en-US"/>
        </w:rPr>
        <w:lastRenderedPageBreak/>
        <w:t>Selected Further Reading</w:t>
      </w:r>
    </w:p>
    <w:p w:rsidR="00CB37CE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Adiseshiah, Siân 2007: “Still a Socialist? Political Commitment in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Churchill’s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The </w:t>
      </w:r>
      <w:proofErr w:type="spellStart"/>
      <w:r w:rsidRPr="00CB37CE">
        <w:rPr>
          <w:rFonts w:ascii="OrigGarmnd BT" w:hAnsi="OrigGarmnd BT"/>
          <w:i/>
          <w:sz w:val="20"/>
          <w:szCs w:val="20"/>
          <w:lang w:val="en-US"/>
        </w:rPr>
        <w:t>Skriker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and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Far Away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”. </w:t>
      </w:r>
      <w:r w:rsidR="00CB37CE" w:rsidRPr="00CB37CE">
        <w:rPr>
          <w:rFonts w:ascii="OrigGarmnd BT" w:hAnsi="OrigGarmnd BT" w:cs="Calibri"/>
          <w:i/>
          <w:sz w:val="20"/>
          <w:szCs w:val="20"/>
          <w:lang w:val="en-US"/>
        </w:rPr>
        <w:t xml:space="preserve">Churchill’s Socialism: Political Resistance in the Plays of </w:t>
      </w:r>
      <w:proofErr w:type="spellStart"/>
      <w:r w:rsidR="00CB37CE" w:rsidRPr="00CB37CE">
        <w:rPr>
          <w:rFonts w:ascii="OrigGarmnd BT" w:hAnsi="OrigGarmnd BT" w:cs="Calibri"/>
          <w:i/>
          <w:sz w:val="20"/>
          <w:szCs w:val="20"/>
          <w:lang w:val="en-US"/>
        </w:rPr>
        <w:t>Caryl</w:t>
      </w:r>
      <w:proofErr w:type="spellEnd"/>
      <w:r w:rsidR="00CB37CE" w:rsidRPr="00CB37CE">
        <w:rPr>
          <w:rFonts w:ascii="OrigGarmnd BT" w:hAnsi="OrigGarmnd BT" w:cs="Calibri"/>
          <w:i/>
          <w:sz w:val="20"/>
          <w:szCs w:val="20"/>
          <w:lang w:val="en-US"/>
        </w:rPr>
        <w:t xml:space="preserve"> Churchill</w:t>
      </w:r>
      <w:r w:rsidR="00CB37CE" w:rsidRPr="00CB37CE">
        <w:rPr>
          <w:rFonts w:ascii="OrigGarmnd BT" w:hAnsi="OrigGarmnd BT" w:cs="Calibri"/>
          <w:sz w:val="20"/>
          <w:szCs w:val="20"/>
          <w:lang w:val="en-US"/>
        </w:rPr>
        <w:t>. Newcastle upon Tyne: Cambridge Scholars Publishing. 195-218.</w:t>
      </w:r>
    </w:p>
    <w:p w:rsidR="00852717" w:rsidRPr="00CB37CE" w:rsidRDefault="00852717" w:rsidP="003A2DD4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Aragay, Mireia 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1997: “Writing, Politics, and </w:t>
      </w:r>
      <w:r w:rsidRPr="00CB37CE">
        <w:rPr>
          <w:rFonts w:ascii="OrigGarmnd BT" w:hAnsi="OrigGarmnd BT"/>
          <w:bCs/>
          <w:i/>
          <w:sz w:val="20"/>
          <w:szCs w:val="20"/>
          <w:lang w:val="en-US"/>
        </w:rPr>
        <w:t>Ashes to Ashes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: An Interview with Harold Pinter”. </w:t>
      </w:r>
      <w:r w:rsidRPr="00CB37CE">
        <w:rPr>
          <w:rFonts w:ascii="OrigGarmnd BT" w:hAnsi="OrigGarmnd BT"/>
          <w:bCs/>
          <w:i/>
          <w:sz w:val="20"/>
          <w:szCs w:val="20"/>
          <w:lang w:val="en-US"/>
        </w:rPr>
        <w:t>The Pinter Review: Annual Essays 1995 and 1996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. Eds. Francis Gillen and Steven H. Gale. Tampa, Fl.: The University of Tampa Press. 4-15. </w:t>
      </w:r>
      <w:proofErr w:type="spellStart"/>
      <w:r w:rsidRPr="00CB37CE">
        <w:rPr>
          <w:rFonts w:ascii="OrigGarmnd BT" w:hAnsi="OrigGarmnd BT"/>
          <w:bCs/>
          <w:sz w:val="20"/>
          <w:szCs w:val="20"/>
          <w:lang w:val="en-US"/>
        </w:rPr>
        <w:t>Repr</w:t>
      </w:r>
      <w:proofErr w:type="spellEnd"/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. </w:t>
      </w:r>
      <w:proofErr w:type="gramStart"/>
      <w:r w:rsidRPr="00CB37CE">
        <w:rPr>
          <w:rFonts w:ascii="OrigGarmnd BT" w:hAnsi="OrigGarmnd BT"/>
          <w:bCs/>
          <w:sz w:val="20"/>
          <w:szCs w:val="20"/>
          <w:lang w:val="en-US"/>
        </w:rPr>
        <w:t>in</w:t>
      </w:r>
      <w:proofErr w:type="gramEnd"/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 Harold Pinter, </w:t>
      </w:r>
      <w:r w:rsidRPr="00CB37CE">
        <w:rPr>
          <w:rFonts w:ascii="OrigGarmnd BT" w:hAnsi="OrigGarmnd BT"/>
          <w:bCs/>
          <w:i/>
          <w:sz w:val="20"/>
          <w:szCs w:val="20"/>
          <w:lang w:val="en-US"/>
        </w:rPr>
        <w:t>Various Voices: Prose, Poetry, Politics 1948-1998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>. London: Faber, 1998</w:t>
      </w:r>
      <w:r w:rsidR="00B948D3" w:rsidRPr="00CB37CE">
        <w:rPr>
          <w:rFonts w:ascii="OrigGarmnd BT" w:hAnsi="OrigGarmnd BT"/>
          <w:bCs/>
          <w:sz w:val="20"/>
          <w:szCs w:val="20"/>
          <w:lang w:val="en-US"/>
        </w:rPr>
        <w:t>, pp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>. 58-70.</w:t>
      </w:r>
    </w:p>
    <w:p w:rsidR="00852717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--- 2009 (2001): “Pinter, Politics and Postmodernism (2)”.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The Cambridge Companion to Harold Pinter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Ed. Peter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Raby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>. Cambridge: Cambridge UP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283-96.</w:t>
      </w:r>
    </w:p>
    <w:p w:rsidR="00852717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--- 2012: “Globalization, Space and the Ethics of Witnessing: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Party Time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(1991),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Far Away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(2000) and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Fewer Emergencies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(2002)”.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Ethical Debates in Contemporary Theatre and Drama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Eds. Mark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Berninger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and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Berhard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Reitz. Trier: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Wissenschaftlicher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Verlag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Trier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105-19.</w:t>
      </w:r>
    </w:p>
    <w:p w:rsidR="00852717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Aston, Elaine 2001: </w:t>
      </w:r>
      <w:proofErr w:type="spellStart"/>
      <w:r w:rsidRPr="00CB37CE">
        <w:rPr>
          <w:rFonts w:ascii="OrigGarmnd BT" w:hAnsi="OrigGarmnd BT"/>
          <w:i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 Churchill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Tavistock: </w:t>
      </w:r>
      <w:proofErr w:type="spellStart"/>
      <w:r w:rsidRPr="00CB37CE">
        <w:rPr>
          <w:rFonts w:ascii="OrigGarmnd BT" w:hAnsi="OrigGarmnd BT"/>
          <w:sz w:val="20"/>
          <w:szCs w:val="20"/>
          <w:lang w:val="en-GB"/>
        </w:rPr>
        <w:t>Northcote</w:t>
      </w:r>
      <w:proofErr w:type="spellEnd"/>
      <w:r w:rsidRPr="00CB37CE">
        <w:rPr>
          <w:rFonts w:ascii="OrigGarmnd BT" w:hAnsi="OrigGarmnd BT"/>
          <w:sz w:val="20"/>
          <w:szCs w:val="20"/>
          <w:lang w:val="en-GB"/>
        </w:rPr>
        <w:t xml:space="preserve"> House (Writers &amp; Their Work).</w:t>
      </w:r>
    </w:p>
    <w:p w:rsidR="00CB20D4" w:rsidRDefault="00CB20D4" w:rsidP="00CB20D4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 w:eastAsia="es-ES"/>
        </w:rPr>
      </w:pPr>
      <w:r w:rsidRPr="00205897">
        <w:rPr>
          <w:rFonts w:ascii="OrigGarmnd BT" w:hAnsi="OrigGarmnd BT"/>
          <w:sz w:val="20"/>
          <w:szCs w:val="20"/>
          <w:lang w:val="en-US" w:eastAsia="es-ES"/>
        </w:rPr>
        <w:t>Aston, Elaine 2013:</w:t>
      </w:r>
      <w:r w:rsidRPr="00703DD9">
        <w:rPr>
          <w:rFonts w:ascii="OrigGarmnd BT" w:hAnsi="OrigGarmnd BT"/>
          <w:sz w:val="20"/>
          <w:szCs w:val="20"/>
          <w:lang w:val="en-US" w:eastAsia="es-ES"/>
        </w:rPr>
        <w:t xml:space="preserve"> “But Not That: </w:t>
      </w:r>
      <w:proofErr w:type="spellStart"/>
      <w:r w:rsidRPr="00703DD9">
        <w:rPr>
          <w:rFonts w:ascii="OrigGarmnd BT" w:hAnsi="OrigGarmnd BT"/>
          <w:sz w:val="20"/>
          <w:szCs w:val="20"/>
          <w:lang w:val="en-US" w:eastAsia="es-ES"/>
        </w:rPr>
        <w:t>Caryl</w:t>
      </w:r>
      <w:proofErr w:type="spellEnd"/>
      <w:r w:rsidRPr="00703DD9">
        <w:rPr>
          <w:rFonts w:ascii="OrigGarmnd BT" w:hAnsi="OrigGarmnd BT"/>
          <w:sz w:val="20"/>
          <w:szCs w:val="20"/>
          <w:lang w:val="en-US" w:eastAsia="es-ES"/>
        </w:rPr>
        <w:t xml:space="preserve"> Churchill</w:t>
      </w:r>
      <w:r>
        <w:rPr>
          <w:rFonts w:ascii="Times New Roman" w:hAnsi="Times New Roman"/>
          <w:sz w:val="20"/>
          <w:szCs w:val="20"/>
          <w:lang w:val="en-US" w:eastAsia="es-ES"/>
        </w:rPr>
        <w:t>’</w:t>
      </w:r>
      <w:r w:rsidRPr="00703DD9">
        <w:rPr>
          <w:rFonts w:ascii="OrigGarmnd BT" w:hAnsi="OrigGarmnd BT"/>
          <w:sz w:val="20"/>
          <w:szCs w:val="20"/>
          <w:lang w:val="en-US" w:eastAsia="es-ES"/>
        </w:rPr>
        <w:t>s Political Shape Shifting at the</w:t>
      </w:r>
      <w:r>
        <w:rPr>
          <w:rFonts w:ascii="OrigGarmnd BT" w:hAnsi="OrigGarmnd BT"/>
          <w:sz w:val="20"/>
          <w:szCs w:val="20"/>
          <w:lang w:val="en-US" w:eastAsia="es-ES"/>
        </w:rPr>
        <w:t xml:space="preserve"> </w:t>
      </w:r>
      <w:r w:rsidRPr="00703DD9">
        <w:rPr>
          <w:rFonts w:ascii="OrigGarmnd BT" w:hAnsi="OrigGarmnd BT"/>
          <w:sz w:val="20"/>
          <w:szCs w:val="20"/>
          <w:lang w:val="en-US" w:eastAsia="es-ES"/>
        </w:rPr>
        <w:t xml:space="preserve">Turn of the </w:t>
      </w:r>
      <w:proofErr w:type="spellStart"/>
      <w:r w:rsidRPr="00703DD9">
        <w:rPr>
          <w:rFonts w:ascii="OrigGarmnd BT" w:hAnsi="OrigGarmnd BT"/>
          <w:sz w:val="20"/>
          <w:szCs w:val="20"/>
          <w:lang w:val="en-US" w:eastAsia="es-ES"/>
        </w:rPr>
        <w:t>Millenium</w:t>
      </w:r>
      <w:proofErr w:type="spellEnd"/>
      <w:r w:rsidRPr="00703DD9">
        <w:rPr>
          <w:rFonts w:ascii="OrigGarmnd BT" w:hAnsi="OrigGarmnd BT"/>
          <w:sz w:val="20"/>
          <w:szCs w:val="20"/>
          <w:lang w:val="en-US" w:eastAsia="es-ES"/>
        </w:rPr>
        <w:t xml:space="preserve">”. </w:t>
      </w:r>
      <w:r w:rsidRPr="00703DD9">
        <w:rPr>
          <w:rFonts w:ascii="OrigGarmnd BT" w:hAnsi="OrigGarmnd BT"/>
          <w:i/>
          <w:iCs/>
          <w:sz w:val="20"/>
          <w:szCs w:val="20"/>
          <w:lang w:val="en-US" w:eastAsia="es-ES"/>
        </w:rPr>
        <w:t xml:space="preserve">Modern Drama </w:t>
      </w:r>
      <w:r w:rsidRPr="00703DD9">
        <w:rPr>
          <w:rFonts w:ascii="OrigGarmnd BT" w:hAnsi="OrigGarmnd BT"/>
          <w:sz w:val="20"/>
          <w:szCs w:val="20"/>
          <w:lang w:val="en-US" w:eastAsia="es-ES"/>
        </w:rPr>
        <w:t>56.2: 145-64.</w:t>
      </w:r>
    </w:p>
    <w:p w:rsidR="00852717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--- and Elin Diamond, eds. 2009: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The Cambridge Companion to </w:t>
      </w:r>
      <w:proofErr w:type="spellStart"/>
      <w:r w:rsidRPr="00CB37CE">
        <w:rPr>
          <w:rFonts w:ascii="OrigGarmnd BT" w:hAnsi="OrigGarmnd BT"/>
          <w:i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 Churchill</w:t>
      </w:r>
      <w:r w:rsidRPr="00CB37CE">
        <w:rPr>
          <w:rFonts w:ascii="OrigGarmnd BT" w:hAnsi="OrigGarmnd BT"/>
          <w:sz w:val="20"/>
          <w:szCs w:val="20"/>
          <w:lang w:val="en-US"/>
        </w:rPr>
        <w:t>. Cambridge: Cambridge University Press.</w:t>
      </w:r>
    </w:p>
    <w:p w:rsidR="002133D0" w:rsidRPr="00CB37CE" w:rsidRDefault="002133D0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proofErr w:type="spellStart"/>
      <w:r w:rsidRPr="00CB37CE">
        <w:rPr>
          <w:rFonts w:ascii="OrigGarmnd BT" w:hAnsi="OrigGarmnd BT"/>
          <w:sz w:val="20"/>
          <w:szCs w:val="20"/>
          <w:lang w:val="en-GB"/>
        </w:rPr>
        <w:t>Balibar</w:t>
      </w:r>
      <w:proofErr w:type="spellEnd"/>
      <w:r w:rsidRPr="00CB37CE">
        <w:rPr>
          <w:rFonts w:ascii="OrigGarmnd BT" w:hAnsi="OrigGarmnd BT"/>
          <w:sz w:val="20"/>
          <w:szCs w:val="20"/>
          <w:lang w:val="en-GB"/>
        </w:rPr>
        <w:t xml:space="preserve">, Étienne 2001: “Outlines of a Topography of Cruelty: Citizenship and Civility in the Era of Global Violence”. </w:t>
      </w:r>
      <w:r w:rsidRPr="00CB37CE">
        <w:rPr>
          <w:rFonts w:ascii="OrigGarmnd BT" w:hAnsi="OrigGarmnd BT"/>
          <w:i/>
          <w:sz w:val="20"/>
          <w:szCs w:val="20"/>
          <w:lang w:val="en-GB"/>
        </w:rPr>
        <w:t>Constellations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 8</w:t>
      </w:r>
      <w:r w:rsidR="00512596">
        <w:rPr>
          <w:rFonts w:ascii="OrigGarmnd BT" w:hAnsi="OrigGarmnd BT"/>
          <w:sz w:val="20"/>
          <w:szCs w:val="20"/>
          <w:lang w:val="en-GB"/>
        </w:rPr>
        <w:t>.</w:t>
      </w:r>
      <w:r w:rsidRPr="00CB37CE">
        <w:rPr>
          <w:rFonts w:ascii="OrigGarmnd BT" w:hAnsi="OrigGarmnd BT"/>
          <w:sz w:val="20"/>
          <w:szCs w:val="20"/>
          <w:lang w:val="en-GB"/>
        </w:rPr>
        <w:t>1: 15-29.</w:t>
      </w:r>
    </w:p>
    <w:p w:rsidR="00852717" w:rsidRPr="00CB37CE" w:rsidRDefault="00852717" w:rsidP="003A2DD4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bCs/>
          <w:sz w:val="20"/>
          <w:szCs w:val="20"/>
          <w:lang w:val="en-US"/>
        </w:rPr>
      </w:pPr>
      <w:proofErr w:type="spellStart"/>
      <w:r w:rsidRPr="00CB37CE">
        <w:rPr>
          <w:rFonts w:ascii="OrigGarmnd BT" w:hAnsi="OrigGarmnd BT"/>
          <w:bCs/>
          <w:sz w:val="20"/>
          <w:szCs w:val="20"/>
          <w:lang w:val="en-US"/>
        </w:rPr>
        <w:t>Billington</w:t>
      </w:r>
      <w:proofErr w:type="spellEnd"/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, Michael 1996: </w:t>
      </w:r>
      <w:r w:rsidRPr="00CB37CE">
        <w:rPr>
          <w:rFonts w:ascii="OrigGarmnd BT" w:hAnsi="OrigGarmnd BT"/>
          <w:bCs/>
          <w:i/>
          <w:sz w:val="20"/>
          <w:szCs w:val="20"/>
          <w:lang w:val="en-US"/>
        </w:rPr>
        <w:t>The Life and Work of Harold Pinter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>. London: Faber</w:t>
      </w:r>
      <w:r w:rsidR="00E23B8B">
        <w:rPr>
          <w:rFonts w:ascii="OrigGarmnd BT" w:hAnsi="OrigGarmnd BT"/>
          <w:bCs/>
          <w:sz w:val="20"/>
          <w:szCs w:val="20"/>
          <w:lang w:val="en-US"/>
        </w:rPr>
        <w:t>.</w:t>
      </w:r>
      <w:r w:rsidRPr="00CB37CE">
        <w:rPr>
          <w:rFonts w:ascii="OrigGarmnd BT" w:hAnsi="OrigGarmnd BT"/>
          <w:bCs/>
          <w:sz w:val="20"/>
          <w:szCs w:val="20"/>
          <w:lang w:val="en-US"/>
        </w:rPr>
        <w:t xml:space="preserve"> 375-83.</w:t>
      </w:r>
    </w:p>
    <w:p w:rsidR="00852717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CB37CE">
        <w:rPr>
          <w:rFonts w:ascii="OrigGarmnd BT" w:hAnsi="OrigGarmnd BT"/>
          <w:sz w:val="20"/>
          <w:szCs w:val="20"/>
          <w:lang w:val="en-GB"/>
        </w:rPr>
        <w:t xml:space="preserve">--- 2007: </w:t>
      </w:r>
      <w:r w:rsidRPr="00CB37CE">
        <w:rPr>
          <w:rFonts w:ascii="OrigGarmnd BT" w:hAnsi="OrigGarmnd BT"/>
          <w:i/>
          <w:sz w:val="20"/>
          <w:szCs w:val="20"/>
          <w:lang w:val="en-GB"/>
        </w:rPr>
        <w:t>State of the Nation: British Theatre since 1945</w:t>
      </w:r>
      <w:r w:rsidRPr="00CB37CE">
        <w:rPr>
          <w:rFonts w:ascii="OrigGarmnd BT" w:hAnsi="OrigGarmnd BT"/>
          <w:sz w:val="20"/>
          <w:szCs w:val="20"/>
          <w:lang w:val="en-GB"/>
        </w:rPr>
        <w:t>. London: Faber.</w:t>
      </w:r>
    </w:p>
    <w:p w:rsidR="00852717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>Diamond, Elin 2006: “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Churchill: Feeling Global”.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A Companion to Modern British and Irish Drama: 1880-2005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Ed. Mary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Luckhurst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>. Oxford: Blackwell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476-87.</w:t>
      </w:r>
    </w:p>
    <w:p w:rsidR="00B74484" w:rsidRPr="00962002" w:rsidRDefault="00B74484" w:rsidP="00B74484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="OrigGarmnd BT" w:hAnsi="OrigGarmnd BT"/>
          <w:sz w:val="20"/>
          <w:szCs w:val="20"/>
          <w:lang w:val="en-US"/>
        </w:rPr>
      </w:pPr>
      <w:proofErr w:type="spellStart"/>
      <w:r w:rsidRPr="00962002">
        <w:rPr>
          <w:rFonts w:ascii="OrigGarmnd BT" w:hAnsi="OrigGarmnd BT"/>
          <w:sz w:val="20"/>
          <w:szCs w:val="20"/>
          <w:lang w:val="en-US" w:eastAsia="es-ES"/>
        </w:rPr>
        <w:t>Gobert</w:t>
      </w:r>
      <w:proofErr w:type="spellEnd"/>
      <w:r w:rsidRPr="00962002">
        <w:rPr>
          <w:rFonts w:ascii="OrigGarmnd BT" w:hAnsi="OrigGarmnd BT"/>
          <w:sz w:val="20"/>
          <w:szCs w:val="20"/>
          <w:lang w:val="en-US" w:eastAsia="es-ES"/>
        </w:rPr>
        <w:t xml:space="preserve">, R. Darren 2014: </w:t>
      </w:r>
      <w:r w:rsidRPr="00962002">
        <w:rPr>
          <w:rFonts w:ascii="OrigGarmnd BT" w:hAnsi="OrigGarmnd BT"/>
          <w:i/>
          <w:iCs/>
          <w:sz w:val="20"/>
          <w:szCs w:val="20"/>
          <w:lang w:val="en-US" w:eastAsia="es-ES"/>
        </w:rPr>
        <w:t xml:space="preserve">The Theatre of </w:t>
      </w:r>
      <w:proofErr w:type="spellStart"/>
      <w:r w:rsidRPr="00962002">
        <w:rPr>
          <w:rFonts w:ascii="OrigGarmnd BT" w:hAnsi="OrigGarmnd BT"/>
          <w:i/>
          <w:iCs/>
          <w:sz w:val="20"/>
          <w:szCs w:val="20"/>
          <w:lang w:val="en-US" w:eastAsia="es-ES"/>
        </w:rPr>
        <w:t>Caryl</w:t>
      </w:r>
      <w:proofErr w:type="spellEnd"/>
      <w:r w:rsidRPr="00962002">
        <w:rPr>
          <w:rFonts w:ascii="OrigGarmnd BT" w:hAnsi="OrigGarmnd BT"/>
          <w:i/>
          <w:iCs/>
          <w:sz w:val="20"/>
          <w:szCs w:val="20"/>
          <w:lang w:val="en-US" w:eastAsia="es-ES"/>
        </w:rPr>
        <w:t xml:space="preserve"> Churchill</w:t>
      </w:r>
      <w:r w:rsidRPr="00962002">
        <w:rPr>
          <w:rFonts w:ascii="OrigGarmnd BT" w:hAnsi="OrigGarmnd BT"/>
          <w:sz w:val="20"/>
          <w:szCs w:val="20"/>
          <w:lang w:val="en-US" w:eastAsia="es-ES"/>
        </w:rPr>
        <w:t xml:space="preserve">. </w:t>
      </w:r>
      <w:r w:rsidRPr="00CB20D4">
        <w:rPr>
          <w:rFonts w:ascii="OrigGarmnd BT" w:hAnsi="OrigGarmnd BT"/>
          <w:sz w:val="20"/>
          <w:szCs w:val="20"/>
          <w:lang w:val="en-US" w:eastAsia="es-ES"/>
        </w:rPr>
        <w:t>London: Bloomsbury.</w:t>
      </w:r>
    </w:p>
    <w:p w:rsidR="00852717" w:rsidRPr="00CB37CE" w:rsidRDefault="00852717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Kritzer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, Amelia Howe 1991: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The Plays of </w:t>
      </w:r>
      <w:proofErr w:type="spellStart"/>
      <w:r w:rsidRPr="00CB37CE">
        <w:rPr>
          <w:rFonts w:ascii="OrigGarmnd BT" w:hAnsi="OrigGarmnd BT"/>
          <w:i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i/>
          <w:sz w:val="20"/>
          <w:szCs w:val="20"/>
          <w:lang w:val="en-US"/>
        </w:rPr>
        <w:t xml:space="preserve"> Churchill: Theatre of Empowerment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Houndmills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>: Macmillan.</w:t>
      </w:r>
    </w:p>
    <w:p w:rsidR="00DE0585" w:rsidRDefault="00DE0585" w:rsidP="00DE0585">
      <w:pPr>
        <w:spacing w:after="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>
        <w:rPr>
          <w:rFonts w:ascii="OrigGarmnd BT" w:hAnsi="OrigGarmnd BT"/>
          <w:sz w:val="20"/>
          <w:szCs w:val="20"/>
          <w:lang w:val="en-US"/>
        </w:rPr>
        <w:t>--- 2</w:t>
      </w:r>
      <w:r w:rsidRPr="00A82B40">
        <w:rPr>
          <w:rFonts w:ascii="OrigGarmnd BT" w:hAnsi="OrigGarmnd BT"/>
          <w:sz w:val="20"/>
          <w:szCs w:val="20"/>
          <w:lang w:val="en-US"/>
        </w:rPr>
        <w:t>002</w:t>
      </w:r>
      <w:r>
        <w:rPr>
          <w:rFonts w:ascii="OrigGarmnd BT" w:hAnsi="OrigGarmnd BT"/>
          <w:sz w:val="20"/>
          <w:szCs w:val="20"/>
          <w:lang w:val="en-US"/>
        </w:rPr>
        <w:t>:</w:t>
      </w:r>
      <w:r w:rsidRPr="00A82B40">
        <w:rPr>
          <w:rFonts w:ascii="OrigGarmnd BT" w:hAnsi="OrigGarmnd BT"/>
          <w:sz w:val="20"/>
          <w:szCs w:val="20"/>
          <w:lang w:val="en-US"/>
        </w:rPr>
        <w:t xml:space="preserve"> “Political Currents in </w:t>
      </w:r>
      <w:proofErr w:type="spellStart"/>
      <w:r w:rsidRPr="00A82B40">
        <w:rPr>
          <w:rFonts w:ascii="OrigGarmnd BT" w:hAnsi="OrigGarmnd BT"/>
          <w:sz w:val="20"/>
          <w:szCs w:val="20"/>
          <w:lang w:val="en-US"/>
        </w:rPr>
        <w:t>Caryl</w:t>
      </w:r>
      <w:proofErr w:type="spellEnd"/>
      <w:r w:rsidRPr="00A82B40">
        <w:rPr>
          <w:rFonts w:ascii="OrigGarmnd BT" w:hAnsi="OrigGarmnd BT"/>
          <w:sz w:val="20"/>
          <w:szCs w:val="20"/>
          <w:lang w:val="en-US"/>
        </w:rPr>
        <w:t xml:space="preserve"> </w:t>
      </w:r>
      <w:r w:rsidRPr="00845215">
        <w:rPr>
          <w:rFonts w:ascii="OrigGarmnd BT" w:hAnsi="OrigGarmnd BT"/>
          <w:sz w:val="20"/>
          <w:szCs w:val="20"/>
          <w:lang w:val="en-US"/>
        </w:rPr>
        <w:t xml:space="preserve">Churchill’s Plays at the Turn of the Millennium”. </w:t>
      </w:r>
      <w:r w:rsidRPr="00845215">
        <w:rPr>
          <w:rFonts w:ascii="OrigGarmnd BT" w:hAnsi="OrigGarmnd BT"/>
          <w:i/>
          <w:sz w:val="20"/>
          <w:szCs w:val="20"/>
          <w:lang w:val="en-US"/>
        </w:rPr>
        <w:t>Crucible of Cultures: Anglophone Drama at the Dawn of a New Millennium</w:t>
      </w:r>
      <w:r w:rsidRPr="00845215">
        <w:rPr>
          <w:rFonts w:ascii="OrigGarmnd BT" w:hAnsi="OrigGarmnd BT"/>
          <w:sz w:val="20"/>
          <w:szCs w:val="20"/>
          <w:lang w:val="en-US"/>
        </w:rPr>
        <w:t xml:space="preserve">. </w:t>
      </w:r>
      <w:r w:rsidRPr="002800FA">
        <w:rPr>
          <w:rFonts w:ascii="OrigGarmnd BT" w:hAnsi="OrigGarmnd BT"/>
          <w:sz w:val="20"/>
          <w:szCs w:val="20"/>
          <w:lang w:val="en-US"/>
        </w:rPr>
        <w:t>Eds. Marc</w:t>
      </w:r>
      <w:r w:rsidRPr="00845215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Pr="00845215">
        <w:rPr>
          <w:rFonts w:ascii="OrigGarmnd BT" w:hAnsi="OrigGarmnd BT"/>
          <w:sz w:val="20"/>
          <w:szCs w:val="20"/>
          <w:lang w:val="en-US"/>
        </w:rPr>
        <w:t>Maufort</w:t>
      </w:r>
      <w:proofErr w:type="spellEnd"/>
      <w:r w:rsidRPr="00845215">
        <w:rPr>
          <w:rFonts w:ascii="OrigGarmnd BT" w:hAnsi="OrigGarmnd BT"/>
          <w:sz w:val="20"/>
          <w:szCs w:val="20"/>
          <w:lang w:val="en-US"/>
        </w:rPr>
        <w:t xml:space="preserve"> and Franca </w:t>
      </w:r>
      <w:proofErr w:type="spellStart"/>
      <w:r w:rsidRPr="00845215">
        <w:rPr>
          <w:rFonts w:ascii="OrigGarmnd BT" w:hAnsi="OrigGarmnd BT"/>
          <w:sz w:val="20"/>
          <w:szCs w:val="20"/>
          <w:lang w:val="en-US"/>
        </w:rPr>
        <w:t>Bellarsi</w:t>
      </w:r>
      <w:proofErr w:type="spellEnd"/>
      <w:r>
        <w:rPr>
          <w:rFonts w:ascii="OrigGarmnd BT" w:hAnsi="OrigGarmnd BT"/>
          <w:sz w:val="20"/>
          <w:szCs w:val="20"/>
          <w:lang w:val="en-US"/>
        </w:rPr>
        <w:t>.</w:t>
      </w:r>
      <w:r w:rsidRPr="00845215">
        <w:rPr>
          <w:rFonts w:ascii="OrigGarmnd BT" w:hAnsi="OrigGarmnd BT"/>
          <w:sz w:val="20"/>
          <w:szCs w:val="20"/>
          <w:lang w:val="en-US"/>
        </w:rPr>
        <w:t xml:space="preserve"> Brussels: Peter Lang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845215">
        <w:rPr>
          <w:rFonts w:ascii="OrigGarmnd BT" w:hAnsi="OrigGarmnd BT"/>
          <w:sz w:val="20"/>
          <w:szCs w:val="20"/>
          <w:lang w:val="en-US"/>
        </w:rPr>
        <w:t xml:space="preserve"> 57-67.</w:t>
      </w:r>
    </w:p>
    <w:p w:rsidR="00DE0585" w:rsidRDefault="00DE0585" w:rsidP="00DE0585">
      <w:pPr>
        <w:spacing w:after="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</w:p>
    <w:p w:rsidR="00852717" w:rsidRDefault="00852717" w:rsidP="00DE0585">
      <w:pPr>
        <w:widowControl w:val="0"/>
        <w:spacing w:after="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Luckhurst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, Mary 2008: “Harold Pinter and Poetic Politics”.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Cool Britannia? British Political Drama in the 1990s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Eds. Rebecca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D’Monté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and Graham Saunders. Basingstoke and New York: Palgrave Macmillan</w:t>
      </w:r>
      <w:r w:rsidR="00E23B8B">
        <w:rPr>
          <w:rFonts w:ascii="OrigGarmnd BT" w:hAnsi="OrigGarmnd BT"/>
          <w:sz w:val="20"/>
          <w:szCs w:val="20"/>
          <w:lang w:val="en-US"/>
        </w:rPr>
        <w:t>. 5</w:t>
      </w:r>
      <w:r w:rsidRPr="00CB37CE">
        <w:rPr>
          <w:rFonts w:ascii="OrigGarmnd BT" w:hAnsi="OrigGarmnd BT"/>
          <w:sz w:val="20"/>
          <w:szCs w:val="20"/>
          <w:lang w:val="en-US"/>
        </w:rPr>
        <w:t>6-68.</w:t>
      </w:r>
    </w:p>
    <w:p w:rsidR="00DE0585" w:rsidRPr="00CB37CE" w:rsidRDefault="00DE0585" w:rsidP="00DE0585">
      <w:pPr>
        <w:widowControl w:val="0"/>
        <w:spacing w:after="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</w:p>
    <w:p w:rsidR="00852717" w:rsidRPr="00CB37CE" w:rsidRDefault="00852717" w:rsidP="003A2DD4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--- 2009: “Speaking Out: Harold Pinter and Freedom of Expression”.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The Cambridge Companion to Harold Pinter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. Ed. Peter 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Raby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>. Cambridge: Cambridge UP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CB37CE">
        <w:rPr>
          <w:rFonts w:ascii="OrigGarmnd BT" w:hAnsi="OrigGarmnd BT"/>
          <w:sz w:val="20"/>
          <w:szCs w:val="20"/>
          <w:lang w:val="en-US"/>
        </w:rPr>
        <w:t xml:space="preserve"> 105-20.</w:t>
      </w:r>
    </w:p>
    <w:p w:rsidR="00DF681E" w:rsidRPr="00CB37CE" w:rsidRDefault="00DF681E" w:rsidP="003A2DD4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DD4318">
        <w:rPr>
          <w:rFonts w:ascii="OrigGarmnd BT" w:hAnsi="OrigGarmnd BT"/>
          <w:sz w:val="20"/>
          <w:szCs w:val="20"/>
          <w:lang w:val="en-US"/>
        </w:rPr>
        <w:t>Monforte, Enric</w:t>
      </w:r>
      <w:r w:rsidR="00E32D57" w:rsidRPr="00DD4318">
        <w:rPr>
          <w:rFonts w:ascii="OrigGarmnd BT" w:hAnsi="OrigGarmnd BT"/>
          <w:sz w:val="20"/>
          <w:szCs w:val="20"/>
          <w:lang w:val="en-US"/>
        </w:rPr>
        <w:t xml:space="preserve"> 2001</w:t>
      </w:r>
      <w:r w:rsidR="00E32D57">
        <w:rPr>
          <w:rFonts w:ascii="OrigGarmnd BT" w:hAnsi="OrigGarmnd BT"/>
          <w:sz w:val="20"/>
          <w:szCs w:val="20"/>
          <w:lang w:val="en-US"/>
        </w:rPr>
        <w:t xml:space="preserve">: </w:t>
      </w:r>
      <w:r w:rsidR="00E32D57" w:rsidRPr="00E32D57">
        <w:rPr>
          <w:rFonts w:ascii="OrigGarmnd BT" w:hAnsi="OrigGarmnd BT"/>
          <w:i/>
          <w:sz w:val="20"/>
          <w:szCs w:val="20"/>
          <w:lang w:val="en-US"/>
        </w:rPr>
        <w:t xml:space="preserve">Gender, Politics, </w:t>
      </w:r>
      <w:proofErr w:type="gramStart"/>
      <w:r w:rsidR="00E32D57" w:rsidRPr="00E32D57">
        <w:rPr>
          <w:rFonts w:ascii="OrigGarmnd BT" w:hAnsi="OrigGarmnd BT"/>
          <w:i/>
          <w:sz w:val="20"/>
          <w:szCs w:val="20"/>
          <w:lang w:val="en-US"/>
        </w:rPr>
        <w:t>Subjectivity</w:t>
      </w:r>
      <w:proofErr w:type="gramEnd"/>
      <w:r w:rsidR="00E32D57" w:rsidRPr="00E32D57">
        <w:rPr>
          <w:rFonts w:ascii="OrigGarmnd BT" w:hAnsi="OrigGarmnd BT"/>
          <w:i/>
          <w:sz w:val="20"/>
          <w:szCs w:val="20"/>
          <w:lang w:val="en-US"/>
        </w:rPr>
        <w:t xml:space="preserve">: Reading </w:t>
      </w:r>
      <w:proofErr w:type="spellStart"/>
      <w:r w:rsidR="00E32D57" w:rsidRPr="00E32D57">
        <w:rPr>
          <w:rFonts w:ascii="OrigGarmnd BT" w:hAnsi="OrigGarmnd BT"/>
          <w:i/>
          <w:sz w:val="20"/>
          <w:szCs w:val="20"/>
          <w:lang w:val="en-US"/>
        </w:rPr>
        <w:t>Caryl</w:t>
      </w:r>
      <w:proofErr w:type="spellEnd"/>
      <w:r w:rsidR="00E32D57" w:rsidRPr="00E32D57">
        <w:rPr>
          <w:rFonts w:ascii="OrigGarmnd BT" w:hAnsi="OrigGarmnd BT"/>
          <w:i/>
          <w:sz w:val="20"/>
          <w:szCs w:val="20"/>
          <w:lang w:val="en-US"/>
        </w:rPr>
        <w:t xml:space="preserve"> Churchill</w:t>
      </w:r>
      <w:r w:rsidR="00E32D57">
        <w:rPr>
          <w:rFonts w:ascii="OrigGarmnd BT" w:hAnsi="OrigGarmnd BT"/>
          <w:sz w:val="20"/>
          <w:szCs w:val="20"/>
          <w:lang w:val="en-US"/>
        </w:rPr>
        <w:t>. Barcelona: PPU.</w:t>
      </w:r>
    </w:p>
    <w:p w:rsidR="00852717" w:rsidRPr="00CB37CE" w:rsidRDefault="00852717" w:rsidP="003A2DD4">
      <w:pPr>
        <w:widowControl w:val="0"/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 xml:space="preserve">Pinter, Harold 2005: “Art, Truth and Politics”. </w:t>
      </w:r>
      <w:r w:rsidRPr="00CB37CE">
        <w:rPr>
          <w:rStyle w:val="row22"/>
          <w:rFonts w:ascii="OrigGarmnd BT" w:hAnsi="OrigGarmnd BT"/>
          <w:sz w:val="20"/>
          <w:szCs w:val="20"/>
          <w:lang w:val="en-US"/>
        </w:rPr>
        <w:t xml:space="preserve">Nobelprize.org. </w:t>
      </w:r>
      <w:r w:rsidR="006411B6" w:rsidRPr="00CB37CE">
        <w:rPr>
          <w:rFonts w:ascii="OrigGarmnd BT" w:hAnsi="OrigGarmnd BT"/>
          <w:sz w:val="20"/>
          <w:szCs w:val="20"/>
          <w:lang w:val="en-US"/>
        </w:rPr>
        <w:t>http://www.nobelprize.org/nobel_prizes/literature/laureates/2005/pinter-lecture-e.html</w:t>
      </w:r>
      <w:r w:rsidR="006411B6" w:rsidRPr="00CB37CE">
        <w:rPr>
          <w:rStyle w:val="row22"/>
          <w:rFonts w:ascii="OrigGarmnd BT" w:hAnsi="OrigGarmnd BT"/>
          <w:sz w:val="20"/>
          <w:szCs w:val="20"/>
          <w:lang w:val="en-US"/>
        </w:rPr>
        <w:t xml:space="preserve"> </w:t>
      </w:r>
    </w:p>
    <w:p w:rsidR="00852717" w:rsidRPr="00795238" w:rsidRDefault="00852717" w:rsidP="00795238">
      <w:pPr>
        <w:spacing w:after="0" w:line="240" w:lineRule="auto"/>
        <w:ind w:left="709" w:hanging="709"/>
        <w:rPr>
          <w:rFonts w:ascii="OrigGarmnd BT" w:hAnsi="OrigGarmnd BT"/>
          <w:sz w:val="20"/>
          <w:szCs w:val="20"/>
          <w:lang w:val="en-US"/>
        </w:rPr>
      </w:pPr>
      <w:r w:rsidRPr="00795238">
        <w:rPr>
          <w:rFonts w:ascii="OrigGarmnd BT" w:hAnsi="OrigGarmnd BT"/>
          <w:sz w:val="20"/>
          <w:szCs w:val="20"/>
          <w:lang w:val="en-US"/>
        </w:rPr>
        <w:t xml:space="preserve">Prado Pérez, José Ramón 2002: “Issues of Representation and Political Discourse in </w:t>
      </w:r>
      <w:proofErr w:type="spellStart"/>
      <w:r w:rsidRPr="00795238">
        <w:rPr>
          <w:rFonts w:ascii="OrigGarmnd BT" w:hAnsi="OrigGarmnd BT"/>
          <w:sz w:val="20"/>
          <w:szCs w:val="20"/>
          <w:lang w:val="en-US"/>
        </w:rPr>
        <w:t>Caryl</w:t>
      </w:r>
      <w:proofErr w:type="spellEnd"/>
      <w:r w:rsidRPr="00795238">
        <w:rPr>
          <w:rFonts w:ascii="OrigGarmnd BT" w:hAnsi="OrigGarmnd BT"/>
          <w:sz w:val="20"/>
          <w:szCs w:val="20"/>
          <w:lang w:val="en-US"/>
        </w:rPr>
        <w:t xml:space="preserve"> Churchill’s Latest Work”. </w:t>
      </w:r>
      <w:r w:rsidRPr="00795238">
        <w:rPr>
          <w:rFonts w:ascii="OrigGarmnd BT" w:hAnsi="OrigGarmnd BT"/>
          <w:i/>
          <w:sz w:val="20"/>
          <w:szCs w:val="20"/>
          <w:lang w:val="en-US"/>
        </w:rPr>
        <w:t>(Dis)Continuities: Trends and Traditions in Contemporary Theatre and Drama in English</w:t>
      </w:r>
      <w:r w:rsidRPr="00795238">
        <w:rPr>
          <w:rFonts w:ascii="OrigGarmnd BT" w:hAnsi="OrigGarmnd BT"/>
          <w:sz w:val="20"/>
          <w:szCs w:val="20"/>
          <w:lang w:val="en-US"/>
        </w:rPr>
        <w:t xml:space="preserve">. </w:t>
      </w:r>
      <w:r w:rsidR="001864FD" w:rsidRPr="00795238">
        <w:rPr>
          <w:rFonts w:ascii="OrigGarmnd BT" w:hAnsi="OrigGarmnd BT"/>
          <w:sz w:val="20"/>
          <w:szCs w:val="20"/>
          <w:lang w:val="en-US"/>
        </w:rPr>
        <w:t>Eds.</w:t>
      </w:r>
      <w:r w:rsidR="00795238" w:rsidRPr="00795238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="00795238" w:rsidRPr="00795238">
        <w:rPr>
          <w:rFonts w:ascii="OrigGarmnd BT" w:eastAsia="Times New Roman" w:hAnsi="OrigGarmnd BT"/>
          <w:sz w:val="20"/>
          <w:szCs w:val="20"/>
          <w:lang w:val="en-US" w:eastAsia="es-ES"/>
        </w:rPr>
        <w:t>Margarete</w:t>
      </w:r>
      <w:proofErr w:type="spellEnd"/>
      <w:r w:rsidR="00795238" w:rsidRPr="00795238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Rubik and </w:t>
      </w:r>
      <w:proofErr w:type="spellStart"/>
      <w:r w:rsidR="00795238" w:rsidRPr="00795238">
        <w:rPr>
          <w:rFonts w:ascii="OrigGarmnd BT" w:eastAsia="Times New Roman" w:hAnsi="OrigGarmnd BT"/>
          <w:sz w:val="20"/>
          <w:szCs w:val="20"/>
          <w:lang w:val="en-US" w:eastAsia="es-ES"/>
        </w:rPr>
        <w:t>Elke</w:t>
      </w:r>
      <w:proofErr w:type="spellEnd"/>
      <w:r w:rsidR="00795238" w:rsidRPr="00795238">
        <w:rPr>
          <w:rFonts w:ascii="OrigGarmnd BT" w:eastAsia="Times New Roman" w:hAnsi="OrigGarmnd BT"/>
          <w:sz w:val="20"/>
          <w:szCs w:val="20"/>
          <w:lang w:val="en-US" w:eastAsia="es-ES"/>
        </w:rPr>
        <w:t xml:space="preserve"> </w:t>
      </w:r>
      <w:proofErr w:type="spellStart"/>
      <w:r w:rsidR="00795238" w:rsidRPr="00795238">
        <w:rPr>
          <w:rFonts w:ascii="OrigGarmnd BT" w:eastAsia="Times New Roman" w:hAnsi="OrigGarmnd BT"/>
          <w:sz w:val="20"/>
          <w:szCs w:val="20"/>
          <w:lang w:val="en-US" w:eastAsia="es-ES"/>
        </w:rPr>
        <w:t>Mettinger-Schartmann</w:t>
      </w:r>
      <w:proofErr w:type="spellEnd"/>
      <w:r w:rsidR="00C74C2A">
        <w:rPr>
          <w:rFonts w:ascii="OrigGarmnd BT" w:eastAsia="Times New Roman" w:hAnsi="OrigGarmnd BT"/>
          <w:sz w:val="20"/>
          <w:szCs w:val="20"/>
          <w:lang w:val="en-US" w:eastAsia="es-ES"/>
        </w:rPr>
        <w:t>.</w:t>
      </w:r>
      <w:r w:rsidR="001864FD" w:rsidRPr="00795238">
        <w:rPr>
          <w:rFonts w:ascii="OrigGarmnd BT" w:hAnsi="OrigGarmnd BT"/>
          <w:sz w:val="20"/>
          <w:szCs w:val="20"/>
          <w:lang w:val="en-US"/>
        </w:rPr>
        <w:t xml:space="preserve"> </w:t>
      </w:r>
      <w:r w:rsidRPr="00795238">
        <w:rPr>
          <w:rFonts w:ascii="OrigGarmnd BT" w:hAnsi="OrigGarmnd BT"/>
          <w:sz w:val="20"/>
          <w:szCs w:val="20"/>
          <w:lang w:val="en-US"/>
        </w:rPr>
        <w:t xml:space="preserve">Trier: </w:t>
      </w:r>
      <w:proofErr w:type="spellStart"/>
      <w:r w:rsidRPr="00795238">
        <w:rPr>
          <w:rFonts w:ascii="OrigGarmnd BT" w:hAnsi="OrigGarmnd BT"/>
          <w:sz w:val="20"/>
          <w:szCs w:val="20"/>
          <w:lang w:val="en-US"/>
        </w:rPr>
        <w:t>Wissenschaftlicher</w:t>
      </w:r>
      <w:proofErr w:type="spellEnd"/>
      <w:r w:rsidRPr="00795238">
        <w:rPr>
          <w:rFonts w:ascii="OrigGarmnd BT" w:hAnsi="OrigGarmnd BT"/>
          <w:sz w:val="20"/>
          <w:szCs w:val="20"/>
          <w:lang w:val="en-US"/>
        </w:rPr>
        <w:t xml:space="preserve"> </w:t>
      </w:r>
      <w:proofErr w:type="spellStart"/>
      <w:r w:rsidRPr="00795238">
        <w:rPr>
          <w:rFonts w:ascii="OrigGarmnd BT" w:hAnsi="OrigGarmnd BT"/>
          <w:sz w:val="20"/>
          <w:szCs w:val="20"/>
          <w:lang w:val="en-US"/>
        </w:rPr>
        <w:t>Verlag</w:t>
      </w:r>
      <w:proofErr w:type="spellEnd"/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Pr="00795238">
        <w:rPr>
          <w:rFonts w:ascii="OrigGarmnd BT" w:hAnsi="OrigGarmnd BT"/>
          <w:sz w:val="20"/>
          <w:szCs w:val="20"/>
          <w:lang w:val="en-US"/>
        </w:rPr>
        <w:t xml:space="preserve"> 91-104.</w:t>
      </w:r>
    </w:p>
    <w:p w:rsidR="00795238" w:rsidRPr="00795238" w:rsidRDefault="00795238" w:rsidP="00795238">
      <w:pPr>
        <w:spacing w:after="0" w:line="240" w:lineRule="auto"/>
        <w:ind w:left="709" w:hanging="709"/>
        <w:rPr>
          <w:rFonts w:ascii="OrigGarmnd BT" w:hAnsi="OrigGarmnd BT"/>
          <w:sz w:val="20"/>
          <w:szCs w:val="20"/>
          <w:lang w:val="en-US"/>
        </w:rPr>
      </w:pPr>
    </w:p>
    <w:p w:rsidR="001864FD" w:rsidRPr="00CB37CE" w:rsidRDefault="001864FD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Reinelt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>, Janelle 2000: “</w:t>
      </w:r>
      <w:proofErr w:type="spellStart"/>
      <w:r w:rsidRPr="00CB37CE">
        <w:rPr>
          <w:rFonts w:ascii="OrigGarmnd BT" w:hAnsi="OrigGarmnd BT"/>
          <w:sz w:val="20"/>
          <w:szCs w:val="20"/>
          <w:lang w:val="en-US"/>
        </w:rPr>
        <w:t>Caryl</w:t>
      </w:r>
      <w:proofErr w:type="spellEnd"/>
      <w:r w:rsidRPr="00CB37CE">
        <w:rPr>
          <w:rFonts w:ascii="OrigGarmnd BT" w:hAnsi="OrigGarmnd BT"/>
          <w:sz w:val="20"/>
          <w:szCs w:val="20"/>
          <w:lang w:val="en-US"/>
        </w:rPr>
        <w:t xml:space="preserve"> Churchill and the Politics of Style”. </w:t>
      </w:r>
      <w:r w:rsidRPr="00CB37CE">
        <w:rPr>
          <w:rFonts w:ascii="OrigGarmnd BT" w:hAnsi="OrigGarmnd BT"/>
          <w:i/>
          <w:sz w:val="20"/>
          <w:szCs w:val="20"/>
          <w:lang w:val="en-US"/>
        </w:rPr>
        <w:t>The Cambridge Companion to Modern British Playwrights</w:t>
      </w:r>
      <w:r w:rsidRPr="00CB37CE">
        <w:rPr>
          <w:rFonts w:ascii="OrigGarmnd BT" w:hAnsi="OrigGarmnd BT"/>
          <w:sz w:val="20"/>
          <w:szCs w:val="20"/>
          <w:lang w:val="en-US"/>
        </w:rPr>
        <w:t>.</w:t>
      </w:r>
      <w:r w:rsidR="00F15E7C" w:rsidRPr="00CB37CE">
        <w:rPr>
          <w:rFonts w:ascii="OrigGarmnd BT" w:hAnsi="OrigGarmnd BT"/>
          <w:sz w:val="20"/>
          <w:szCs w:val="20"/>
          <w:lang w:val="en-US"/>
        </w:rPr>
        <w:t xml:space="preserve"> Eds. Elaine Aston and Janelle </w:t>
      </w:r>
      <w:proofErr w:type="spellStart"/>
      <w:r w:rsidR="00F15E7C" w:rsidRPr="00CB37CE">
        <w:rPr>
          <w:rFonts w:ascii="OrigGarmnd BT" w:hAnsi="OrigGarmnd BT"/>
          <w:sz w:val="20"/>
          <w:szCs w:val="20"/>
          <w:lang w:val="en-US"/>
        </w:rPr>
        <w:t>Reinelt</w:t>
      </w:r>
      <w:proofErr w:type="spellEnd"/>
      <w:r w:rsidR="00F15E7C" w:rsidRPr="00CB37CE">
        <w:rPr>
          <w:rFonts w:ascii="OrigGarmnd BT" w:hAnsi="OrigGarmnd BT"/>
          <w:sz w:val="20"/>
          <w:szCs w:val="20"/>
          <w:lang w:val="en-US"/>
        </w:rPr>
        <w:t>. Cambridge: Ca</w:t>
      </w:r>
      <w:r w:rsidR="00512596">
        <w:rPr>
          <w:rFonts w:ascii="OrigGarmnd BT" w:hAnsi="OrigGarmnd BT"/>
          <w:sz w:val="20"/>
          <w:szCs w:val="20"/>
          <w:lang w:val="en-US"/>
        </w:rPr>
        <w:t>m</w:t>
      </w:r>
      <w:r w:rsidR="00F15E7C" w:rsidRPr="00CB37CE">
        <w:rPr>
          <w:rFonts w:ascii="OrigGarmnd BT" w:hAnsi="OrigGarmnd BT"/>
          <w:sz w:val="20"/>
          <w:szCs w:val="20"/>
          <w:lang w:val="en-US"/>
        </w:rPr>
        <w:t>bridge UP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r w:rsidR="00F15E7C" w:rsidRPr="00CB37CE">
        <w:rPr>
          <w:rFonts w:ascii="OrigGarmnd BT" w:hAnsi="OrigGarmnd BT"/>
          <w:sz w:val="20"/>
          <w:szCs w:val="20"/>
          <w:lang w:val="en-US"/>
        </w:rPr>
        <w:t xml:space="preserve"> 174-93.</w:t>
      </w:r>
    </w:p>
    <w:p w:rsidR="007754BF" w:rsidRDefault="00851EEF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GB"/>
        </w:rPr>
        <w:lastRenderedPageBreak/>
        <w:t>Waters, Steve</w:t>
      </w:r>
      <w:r w:rsidR="00852717" w:rsidRPr="00CB37CE">
        <w:rPr>
          <w:rFonts w:ascii="OrigGarmnd BT" w:hAnsi="OrigGarmnd BT"/>
          <w:sz w:val="20"/>
          <w:szCs w:val="20"/>
          <w:lang w:val="en-GB"/>
        </w:rPr>
        <w:t xml:space="preserve"> 2009: “The Pinter Paradigm: Pinter’s Influence on Contemporary Playwriting”. </w:t>
      </w:r>
      <w:r w:rsidR="00852717" w:rsidRPr="00CB37CE">
        <w:rPr>
          <w:rFonts w:ascii="OrigGarmnd BT" w:hAnsi="OrigGarmnd BT"/>
          <w:i/>
          <w:sz w:val="20"/>
          <w:szCs w:val="20"/>
          <w:lang w:val="en-US"/>
        </w:rPr>
        <w:t>The Cambridge Companion to Harold Pinter</w:t>
      </w:r>
      <w:r w:rsidR="00852717" w:rsidRPr="00CB37CE">
        <w:rPr>
          <w:rFonts w:ascii="OrigGarmnd BT" w:hAnsi="OrigGarmnd BT"/>
          <w:sz w:val="20"/>
          <w:szCs w:val="20"/>
          <w:lang w:val="en-US"/>
        </w:rPr>
        <w:t xml:space="preserve">. Ed. Peter </w:t>
      </w:r>
      <w:proofErr w:type="spellStart"/>
      <w:r w:rsidR="00852717" w:rsidRPr="00CB37CE">
        <w:rPr>
          <w:rFonts w:ascii="OrigGarmnd BT" w:hAnsi="OrigGarmnd BT"/>
          <w:sz w:val="20"/>
          <w:szCs w:val="20"/>
          <w:lang w:val="en-US"/>
        </w:rPr>
        <w:t>Raby</w:t>
      </w:r>
      <w:proofErr w:type="spellEnd"/>
      <w:r w:rsidR="00852717" w:rsidRPr="00CB37CE">
        <w:rPr>
          <w:rFonts w:ascii="OrigGarmnd BT" w:hAnsi="OrigGarmnd BT"/>
          <w:sz w:val="20"/>
          <w:szCs w:val="20"/>
          <w:lang w:val="en-US"/>
        </w:rPr>
        <w:t>. Cambridge: Cambridge UP</w:t>
      </w:r>
      <w:r w:rsidR="00E23B8B">
        <w:rPr>
          <w:rFonts w:ascii="OrigGarmnd BT" w:hAnsi="OrigGarmnd BT"/>
          <w:sz w:val="20"/>
          <w:szCs w:val="20"/>
          <w:lang w:val="en-US"/>
        </w:rPr>
        <w:t>.</w:t>
      </w:r>
      <w:bookmarkStart w:id="0" w:name="_GoBack"/>
      <w:bookmarkEnd w:id="0"/>
      <w:r w:rsidR="00852717" w:rsidRPr="00CB37CE">
        <w:rPr>
          <w:rFonts w:ascii="OrigGarmnd BT" w:hAnsi="OrigGarmnd BT"/>
          <w:sz w:val="20"/>
          <w:szCs w:val="20"/>
          <w:lang w:val="en-US"/>
        </w:rPr>
        <w:t xml:space="preserve"> 297-309</w:t>
      </w:r>
    </w:p>
    <w:p w:rsidR="0049193B" w:rsidRDefault="0005655B" w:rsidP="0005655B">
      <w:pPr>
        <w:tabs>
          <w:tab w:val="center" w:pos="4252"/>
        </w:tabs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>
        <w:rPr>
          <w:rFonts w:ascii="OrigGarmnd BT" w:hAnsi="OrigGarmnd BT"/>
          <w:sz w:val="20"/>
          <w:szCs w:val="20"/>
          <w:lang w:val="en-US"/>
        </w:rPr>
        <w:tab/>
      </w:r>
      <w:r>
        <w:rPr>
          <w:rFonts w:ascii="OrigGarmnd BT" w:hAnsi="OrigGarmnd BT"/>
          <w:sz w:val="20"/>
          <w:szCs w:val="20"/>
          <w:lang w:val="en-US"/>
        </w:rPr>
        <w:tab/>
      </w:r>
    </w:p>
    <w:p w:rsidR="007754BF" w:rsidRPr="00CB37CE" w:rsidRDefault="007754BF" w:rsidP="003A2DD4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US"/>
        </w:rPr>
      </w:pPr>
      <w:r w:rsidRPr="00CB37CE">
        <w:rPr>
          <w:rFonts w:ascii="OrigGarmnd BT" w:hAnsi="OrigGarmnd BT"/>
          <w:sz w:val="20"/>
          <w:szCs w:val="20"/>
          <w:lang w:val="en-US"/>
        </w:rPr>
        <w:t>***</w:t>
      </w:r>
    </w:p>
    <w:p w:rsidR="007754BF" w:rsidRPr="00CB37CE" w:rsidRDefault="007754BF" w:rsidP="007754BF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CB37CE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Pr="00CB37CE">
        <w:rPr>
          <w:rFonts w:ascii="OrigGarmnd BT" w:hAnsi="OrigGarmnd BT"/>
          <w:i/>
          <w:sz w:val="20"/>
          <w:szCs w:val="20"/>
          <w:lang w:val="en-GB"/>
        </w:rPr>
        <w:t>Party Time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 1991:</w:t>
      </w:r>
      <w:r w:rsidRPr="00CB37CE">
        <w:rPr>
          <w:rFonts w:ascii="OrigGarmnd BT" w:hAnsi="OrigGarmnd BT"/>
          <w:i/>
          <w:sz w:val="20"/>
          <w:szCs w:val="20"/>
          <w:lang w:val="en-GB"/>
        </w:rPr>
        <w:t xml:space="preserve"> Theatre Record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 11</w:t>
      </w:r>
      <w:r w:rsidR="00512596">
        <w:rPr>
          <w:rFonts w:ascii="OrigGarmnd BT" w:hAnsi="OrigGarmnd BT"/>
          <w:sz w:val="20"/>
          <w:szCs w:val="20"/>
          <w:lang w:val="en-GB"/>
        </w:rPr>
        <w:t>.</w:t>
      </w:r>
      <w:r w:rsidRPr="00CB37CE">
        <w:rPr>
          <w:rFonts w:ascii="OrigGarmnd BT" w:hAnsi="OrigGarmnd BT"/>
          <w:sz w:val="20"/>
          <w:szCs w:val="20"/>
          <w:lang w:val="en-GB"/>
        </w:rPr>
        <w:t>23: 1395-1400.</w:t>
      </w:r>
    </w:p>
    <w:p w:rsidR="007754BF" w:rsidRPr="00CB37CE" w:rsidRDefault="007754BF" w:rsidP="007754BF">
      <w:pPr>
        <w:spacing w:after="120" w:line="240" w:lineRule="auto"/>
        <w:ind w:left="709" w:hanging="709"/>
        <w:jc w:val="both"/>
        <w:rPr>
          <w:rFonts w:ascii="OrigGarmnd BT" w:hAnsi="OrigGarmnd BT"/>
          <w:sz w:val="20"/>
          <w:szCs w:val="20"/>
          <w:lang w:val="en-GB"/>
        </w:rPr>
      </w:pPr>
      <w:r w:rsidRPr="00CB37CE">
        <w:rPr>
          <w:rFonts w:ascii="OrigGarmnd BT" w:hAnsi="OrigGarmnd BT"/>
          <w:sz w:val="20"/>
          <w:szCs w:val="20"/>
          <w:lang w:val="en-GB"/>
        </w:rPr>
        <w:t xml:space="preserve">Reviews of </w:t>
      </w:r>
      <w:r w:rsidRPr="00CB37CE">
        <w:rPr>
          <w:rFonts w:ascii="OrigGarmnd BT" w:hAnsi="OrigGarmnd BT"/>
          <w:i/>
          <w:sz w:val="20"/>
          <w:szCs w:val="20"/>
          <w:lang w:val="en-GB"/>
        </w:rPr>
        <w:t>Far Away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 2000:</w:t>
      </w:r>
      <w:r w:rsidRPr="00CB37CE">
        <w:rPr>
          <w:rFonts w:ascii="OrigGarmnd BT" w:hAnsi="OrigGarmnd BT"/>
          <w:i/>
          <w:sz w:val="20"/>
          <w:szCs w:val="20"/>
          <w:lang w:val="en-GB"/>
        </w:rPr>
        <w:t xml:space="preserve"> Theatre Record</w:t>
      </w:r>
      <w:r w:rsidRPr="00CB37CE">
        <w:rPr>
          <w:rFonts w:ascii="OrigGarmnd BT" w:hAnsi="OrigGarmnd BT"/>
          <w:sz w:val="20"/>
          <w:szCs w:val="20"/>
          <w:lang w:val="en-GB"/>
        </w:rPr>
        <w:t xml:space="preserve"> 20</w:t>
      </w:r>
      <w:r w:rsidR="00512596">
        <w:rPr>
          <w:rFonts w:ascii="OrigGarmnd BT" w:hAnsi="OrigGarmnd BT"/>
          <w:sz w:val="20"/>
          <w:szCs w:val="20"/>
          <w:lang w:val="en-GB"/>
        </w:rPr>
        <w:t>.</w:t>
      </w:r>
      <w:r w:rsidRPr="00CB37CE">
        <w:rPr>
          <w:rFonts w:ascii="OrigGarmnd BT" w:hAnsi="OrigGarmnd BT"/>
          <w:sz w:val="20"/>
          <w:szCs w:val="20"/>
          <w:lang w:val="en-GB"/>
        </w:rPr>
        <w:t>24: 1574-1578.</w:t>
      </w:r>
    </w:p>
    <w:sectPr w:rsidR="007754BF" w:rsidRPr="00CB37CE" w:rsidSect="00D2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B8" w:rsidRDefault="00A908B8" w:rsidP="00DF1BFF">
      <w:pPr>
        <w:spacing w:after="0" w:line="240" w:lineRule="auto"/>
      </w:pPr>
      <w:r>
        <w:separator/>
      </w:r>
    </w:p>
  </w:endnote>
  <w:endnote w:type="continuationSeparator" w:id="0">
    <w:p w:rsidR="00A908B8" w:rsidRDefault="00A908B8" w:rsidP="00DF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B0" w:rsidRDefault="00A95F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B0" w:rsidRPr="004A3178" w:rsidRDefault="00A95FB0" w:rsidP="00A95FB0">
    <w:pPr>
      <w:pStyle w:val="Piedepgina"/>
      <w:rPr>
        <w:rFonts w:ascii="OrigGarmnd BT" w:hAnsi="OrigGarmnd BT"/>
        <w:color w:val="808080" w:themeColor="background1" w:themeShade="80"/>
        <w:sz w:val="18"/>
        <w:szCs w:val="18"/>
      </w:rPr>
    </w:pPr>
    <w:r w:rsidRPr="004A3178">
      <w:rPr>
        <w:rFonts w:ascii="OrigGarmnd BT" w:hAnsi="OrigGarmnd BT"/>
        <w:color w:val="808080" w:themeColor="background1" w:themeShade="80"/>
        <w:sz w:val="18"/>
        <w:szCs w:val="18"/>
      </w:rPr>
      <w:t>© Mireia Aragay 2016</w:t>
    </w:r>
  </w:p>
  <w:p w:rsidR="0005655B" w:rsidRPr="0005655B" w:rsidRDefault="0005655B">
    <w:pPr>
      <w:pStyle w:val="Piedepgina"/>
      <w:jc w:val="center"/>
      <w:rPr>
        <w:rFonts w:ascii="OrigGarmnd BT" w:hAnsi="OrigGarmnd BT"/>
        <w:sz w:val="20"/>
        <w:szCs w:val="20"/>
      </w:rPr>
    </w:pPr>
  </w:p>
  <w:p w:rsidR="005B7E5C" w:rsidRDefault="005B7E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51" w:rsidRPr="00574203" w:rsidRDefault="00527051" w:rsidP="00574203">
    <w:pPr>
      <w:tabs>
        <w:tab w:val="left" w:pos="3273"/>
      </w:tabs>
      <w:autoSpaceDE w:val="0"/>
      <w:autoSpaceDN w:val="0"/>
      <w:adjustRightInd w:val="0"/>
      <w:spacing w:after="0" w:line="240" w:lineRule="auto"/>
      <w:ind w:left="1416"/>
      <w:rPr>
        <w:rFonts w:ascii="Palatino Linotype" w:hAnsi="Palatino Linotype" w:cs="Arial"/>
        <w:color w:val="808080" w:themeColor="background1" w:themeShade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B8" w:rsidRDefault="00A908B8" w:rsidP="00DF1BFF">
      <w:pPr>
        <w:spacing w:after="0" w:line="240" w:lineRule="auto"/>
      </w:pPr>
      <w:r>
        <w:separator/>
      </w:r>
    </w:p>
  </w:footnote>
  <w:footnote w:type="continuationSeparator" w:id="0">
    <w:p w:rsidR="00A908B8" w:rsidRDefault="00A908B8" w:rsidP="00DF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B0" w:rsidRDefault="00A95F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450004"/>
      <w:docPartObj>
        <w:docPartGallery w:val="Page Numbers (Margins)"/>
        <w:docPartUnique/>
      </w:docPartObj>
    </w:sdtPr>
    <w:sdtEndPr/>
    <w:sdtContent>
      <w:p w:rsidR="00A95FB0" w:rsidRDefault="00A95FB0">
        <w:pPr>
          <w:pStyle w:val="Encabezado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FB0" w:rsidRPr="00A95FB0" w:rsidRDefault="00A95FB0">
                                <w:pPr>
                                  <w:pStyle w:val="Encabezado"/>
                                  <w:jc w:val="center"/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</w:pPr>
                                <w:r w:rsidRPr="00A95FB0">
                                  <w:fldChar w:fldCharType="begin"/>
                                </w:r>
                                <w:r w:rsidRPr="00A95FB0">
                                  <w:rPr>
                                    <w:rFonts w:ascii="OrigGarmnd BT" w:hAnsi="OrigGarmnd BT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A95FB0">
                                  <w:fldChar w:fldCharType="separate"/>
                                </w:r>
                                <w:r w:rsidR="00E23B8B" w:rsidRPr="00E23B8B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</w:rPr>
                                  <w:t>5</w:t>
                                </w:r>
                                <w:r w:rsidRPr="00A95FB0">
                                  <w:rPr>
                                    <w:rStyle w:val="Nmerodepgina"/>
                                    <w:rFonts w:ascii="OrigGarmnd BT" w:hAnsi="OrigGarmnd BT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A95FB0" w:rsidRPr="00A95FB0" w:rsidRDefault="00A95FB0">
                          <w:pPr>
                            <w:pStyle w:val="Encabezado"/>
                            <w:jc w:val="center"/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</w:pPr>
                          <w:r w:rsidRPr="00A95FB0">
                            <w:fldChar w:fldCharType="begin"/>
                          </w:r>
                          <w:r w:rsidRPr="00A95FB0">
                            <w:rPr>
                              <w:rFonts w:ascii="OrigGarmnd BT" w:hAnsi="OrigGarmnd BT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5FB0">
                            <w:fldChar w:fldCharType="separate"/>
                          </w:r>
                          <w:r w:rsidR="00E23B8B" w:rsidRPr="00E23B8B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</w:rPr>
                            <w:t>5</w:t>
                          </w:r>
                          <w:r w:rsidRPr="00A95FB0">
                            <w:rPr>
                              <w:rStyle w:val="Nmerodepgina"/>
                              <w:rFonts w:ascii="OrigGarmnd BT" w:hAnsi="OrigGarmnd BT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B0" w:rsidRDefault="00A95F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EE2"/>
    <w:multiLevelType w:val="multilevel"/>
    <w:tmpl w:val="7400A4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087E6CE8"/>
    <w:multiLevelType w:val="multilevel"/>
    <w:tmpl w:val="A9CE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8D4140"/>
    <w:multiLevelType w:val="hybridMultilevel"/>
    <w:tmpl w:val="FA2877B8"/>
    <w:lvl w:ilvl="0" w:tplc="AD66C1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31873"/>
    <w:multiLevelType w:val="hybridMultilevel"/>
    <w:tmpl w:val="78166E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65F86"/>
    <w:multiLevelType w:val="hybridMultilevel"/>
    <w:tmpl w:val="C0169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581"/>
    <w:multiLevelType w:val="hybridMultilevel"/>
    <w:tmpl w:val="A680F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F1"/>
    <w:rsid w:val="000066D7"/>
    <w:rsid w:val="00006877"/>
    <w:rsid w:val="000074E6"/>
    <w:rsid w:val="00017AF0"/>
    <w:rsid w:val="00021535"/>
    <w:rsid w:val="0004409B"/>
    <w:rsid w:val="0004605D"/>
    <w:rsid w:val="00046282"/>
    <w:rsid w:val="0005655B"/>
    <w:rsid w:val="00077E30"/>
    <w:rsid w:val="000806A1"/>
    <w:rsid w:val="000810F5"/>
    <w:rsid w:val="000A16EE"/>
    <w:rsid w:val="000D03FF"/>
    <w:rsid w:val="000D22B7"/>
    <w:rsid w:val="000D43DA"/>
    <w:rsid w:val="000D6BEA"/>
    <w:rsid w:val="000F2036"/>
    <w:rsid w:val="000F402A"/>
    <w:rsid w:val="00100D09"/>
    <w:rsid w:val="00102229"/>
    <w:rsid w:val="00116410"/>
    <w:rsid w:val="00126A93"/>
    <w:rsid w:val="00141444"/>
    <w:rsid w:val="001552C7"/>
    <w:rsid w:val="001559B3"/>
    <w:rsid w:val="00155B70"/>
    <w:rsid w:val="001619AB"/>
    <w:rsid w:val="00163286"/>
    <w:rsid w:val="0016431E"/>
    <w:rsid w:val="001864FD"/>
    <w:rsid w:val="001B0862"/>
    <w:rsid w:val="001E0C24"/>
    <w:rsid w:val="00205897"/>
    <w:rsid w:val="00210E38"/>
    <w:rsid w:val="002133D0"/>
    <w:rsid w:val="0023321D"/>
    <w:rsid w:val="00241CF0"/>
    <w:rsid w:val="002456DD"/>
    <w:rsid w:val="00273C57"/>
    <w:rsid w:val="00283F46"/>
    <w:rsid w:val="002845AC"/>
    <w:rsid w:val="00285856"/>
    <w:rsid w:val="002931A4"/>
    <w:rsid w:val="002C7573"/>
    <w:rsid w:val="002E4772"/>
    <w:rsid w:val="002F1C76"/>
    <w:rsid w:val="003059E7"/>
    <w:rsid w:val="003200BF"/>
    <w:rsid w:val="00324FC0"/>
    <w:rsid w:val="00325950"/>
    <w:rsid w:val="00327464"/>
    <w:rsid w:val="0033098E"/>
    <w:rsid w:val="00331352"/>
    <w:rsid w:val="00344CA4"/>
    <w:rsid w:val="00351391"/>
    <w:rsid w:val="00352BA6"/>
    <w:rsid w:val="003565C5"/>
    <w:rsid w:val="003671E6"/>
    <w:rsid w:val="003710ED"/>
    <w:rsid w:val="0037205C"/>
    <w:rsid w:val="00387E58"/>
    <w:rsid w:val="0039086E"/>
    <w:rsid w:val="00393885"/>
    <w:rsid w:val="00395955"/>
    <w:rsid w:val="003A2DD4"/>
    <w:rsid w:val="003A795F"/>
    <w:rsid w:val="003B0ED8"/>
    <w:rsid w:val="003C2F1D"/>
    <w:rsid w:val="003C5202"/>
    <w:rsid w:val="003C7923"/>
    <w:rsid w:val="003E6DD7"/>
    <w:rsid w:val="0040200C"/>
    <w:rsid w:val="00404FAB"/>
    <w:rsid w:val="004142AA"/>
    <w:rsid w:val="004165C3"/>
    <w:rsid w:val="0041728A"/>
    <w:rsid w:val="00442CB0"/>
    <w:rsid w:val="00451F89"/>
    <w:rsid w:val="004730AD"/>
    <w:rsid w:val="00481415"/>
    <w:rsid w:val="0049193B"/>
    <w:rsid w:val="004970BD"/>
    <w:rsid w:val="004A17C8"/>
    <w:rsid w:val="004C089E"/>
    <w:rsid w:val="004C4365"/>
    <w:rsid w:val="004C4671"/>
    <w:rsid w:val="004C52E5"/>
    <w:rsid w:val="004E2B66"/>
    <w:rsid w:val="004E38F3"/>
    <w:rsid w:val="004F5264"/>
    <w:rsid w:val="00506AD0"/>
    <w:rsid w:val="00512596"/>
    <w:rsid w:val="00523263"/>
    <w:rsid w:val="00527051"/>
    <w:rsid w:val="00527B0F"/>
    <w:rsid w:val="0054607C"/>
    <w:rsid w:val="00547B4E"/>
    <w:rsid w:val="005566D3"/>
    <w:rsid w:val="00565579"/>
    <w:rsid w:val="00571382"/>
    <w:rsid w:val="00574203"/>
    <w:rsid w:val="005845C0"/>
    <w:rsid w:val="00595701"/>
    <w:rsid w:val="005A1050"/>
    <w:rsid w:val="005A3F46"/>
    <w:rsid w:val="005A6BFD"/>
    <w:rsid w:val="005B5AF1"/>
    <w:rsid w:val="005B7086"/>
    <w:rsid w:val="005B7E5C"/>
    <w:rsid w:val="005C1DF5"/>
    <w:rsid w:val="005C6EA5"/>
    <w:rsid w:val="005D749D"/>
    <w:rsid w:val="005E52FF"/>
    <w:rsid w:val="005E6FB6"/>
    <w:rsid w:val="005F073A"/>
    <w:rsid w:val="00607E71"/>
    <w:rsid w:val="00617B92"/>
    <w:rsid w:val="00622180"/>
    <w:rsid w:val="006411B6"/>
    <w:rsid w:val="006560AC"/>
    <w:rsid w:val="0067003C"/>
    <w:rsid w:val="0068114B"/>
    <w:rsid w:val="00683235"/>
    <w:rsid w:val="0069050C"/>
    <w:rsid w:val="00696B62"/>
    <w:rsid w:val="006A6710"/>
    <w:rsid w:val="006B07C6"/>
    <w:rsid w:val="006C0768"/>
    <w:rsid w:val="006C4842"/>
    <w:rsid w:val="006D5BB4"/>
    <w:rsid w:val="006E0BA3"/>
    <w:rsid w:val="006E2459"/>
    <w:rsid w:val="006F344B"/>
    <w:rsid w:val="006F37B6"/>
    <w:rsid w:val="006F6C7C"/>
    <w:rsid w:val="00713E7D"/>
    <w:rsid w:val="0072309B"/>
    <w:rsid w:val="007233BF"/>
    <w:rsid w:val="00726C63"/>
    <w:rsid w:val="0073031E"/>
    <w:rsid w:val="00733E91"/>
    <w:rsid w:val="00745D98"/>
    <w:rsid w:val="00753F93"/>
    <w:rsid w:val="007601AA"/>
    <w:rsid w:val="00760D64"/>
    <w:rsid w:val="00760E8E"/>
    <w:rsid w:val="00763E97"/>
    <w:rsid w:val="007754BF"/>
    <w:rsid w:val="00775A80"/>
    <w:rsid w:val="00783A38"/>
    <w:rsid w:val="0078507B"/>
    <w:rsid w:val="00795238"/>
    <w:rsid w:val="007C1284"/>
    <w:rsid w:val="007E14EE"/>
    <w:rsid w:val="007E248A"/>
    <w:rsid w:val="007E2C2A"/>
    <w:rsid w:val="007E2D46"/>
    <w:rsid w:val="007E3E22"/>
    <w:rsid w:val="007E48CA"/>
    <w:rsid w:val="007E532A"/>
    <w:rsid w:val="00806CE6"/>
    <w:rsid w:val="00814EF7"/>
    <w:rsid w:val="008269D4"/>
    <w:rsid w:val="008451DD"/>
    <w:rsid w:val="00847D7B"/>
    <w:rsid w:val="0085035F"/>
    <w:rsid w:val="00851EEF"/>
    <w:rsid w:val="00852717"/>
    <w:rsid w:val="008623E1"/>
    <w:rsid w:val="00872AF3"/>
    <w:rsid w:val="008738C2"/>
    <w:rsid w:val="00873D01"/>
    <w:rsid w:val="008A4DCD"/>
    <w:rsid w:val="008B44E9"/>
    <w:rsid w:val="008C2416"/>
    <w:rsid w:val="008C4BE5"/>
    <w:rsid w:val="008C7A29"/>
    <w:rsid w:val="009106C5"/>
    <w:rsid w:val="00925A00"/>
    <w:rsid w:val="00927AD8"/>
    <w:rsid w:val="0094083E"/>
    <w:rsid w:val="00940A32"/>
    <w:rsid w:val="0095390B"/>
    <w:rsid w:val="00963144"/>
    <w:rsid w:val="00971AE7"/>
    <w:rsid w:val="0098777A"/>
    <w:rsid w:val="00990ADF"/>
    <w:rsid w:val="00996C32"/>
    <w:rsid w:val="009A0977"/>
    <w:rsid w:val="009A5A18"/>
    <w:rsid w:val="009C7A95"/>
    <w:rsid w:val="009E5CF9"/>
    <w:rsid w:val="00A13661"/>
    <w:rsid w:val="00A15327"/>
    <w:rsid w:val="00A218B5"/>
    <w:rsid w:val="00A373BB"/>
    <w:rsid w:val="00A5557D"/>
    <w:rsid w:val="00A5711F"/>
    <w:rsid w:val="00A85346"/>
    <w:rsid w:val="00A908B8"/>
    <w:rsid w:val="00A91849"/>
    <w:rsid w:val="00A93022"/>
    <w:rsid w:val="00A93558"/>
    <w:rsid w:val="00A94B30"/>
    <w:rsid w:val="00A95FB0"/>
    <w:rsid w:val="00AA4B09"/>
    <w:rsid w:val="00AB5040"/>
    <w:rsid w:val="00AB7A9C"/>
    <w:rsid w:val="00AC7A2B"/>
    <w:rsid w:val="00AF35F4"/>
    <w:rsid w:val="00AF6C7F"/>
    <w:rsid w:val="00B05AFB"/>
    <w:rsid w:val="00B131C2"/>
    <w:rsid w:val="00B13510"/>
    <w:rsid w:val="00B235C4"/>
    <w:rsid w:val="00B37D58"/>
    <w:rsid w:val="00B463AF"/>
    <w:rsid w:val="00B47CA1"/>
    <w:rsid w:val="00B513B5"/>
    <w:rsid w:val="00B542F0"/>
    <w:rsid w:val="00B74484"/>
    <w:rsid w:val="00B770CB"/>
    <w:rsid w:val="00B87059"/>
    <w:rsid w:val="00B87F53"/>
    <w:rsid w:val="00B90A03"/>
    <w:rsid w:val="00B948D3"/>
    <w:rsid w:val="00B95C35"/>
    <w:rsid w:val="00BB4A5F"/>
    <w:rsid w:val="00BC4F54"/>
    <w:rsid w:val="00BC5F1B"/>
    <w:rsid w:val="00BC6036"/>
    <w:rsid w:val="00BE1FFE"/>
    <w:rsid w:val="00BE5452"/>
    <w:rsid w:val="00BF1CD2"/>
    <w:rsid w:val="00C01E17"/>
    <w:rsid w:val="00C02A5A"/>
    <w:rsid w:val="00C02E46"/>
    <w:rsid w:val="00C06715"/>
    <w:rsid w:val="00C33B91"/>
    <w:rsid w:val="00C35DFE"/>
    <w:rsid w:val="00C410F9"/>
    <w:rsid w:val="00C467BA"/>
    <w:rsid w:val="00C52FFE"/>
    <w:rsid w:val="00C57298"/>
    <w:rsid w:val="00C74C2A"/>
    <w:rsid w:val="00C84909"/>
    <w:rsid w:val="00C86B9B"/>
    <w:rsid w:val="00CA1564"/>
    <w:rsid w:val="00CB20D4"/>
    <w:rsid w:val="00CB37CE"/>
    <w:rsid w:val="00CC5265"/>
    <w:rsid w:val="00CC7B8E"/>
    <w:rsid w:val="00CD348B"/>
    <w:rsid w:val="00CD409F"/>
    <w:rsid w:val="00CF7E66"/>
    <w:rsid w:val="00D02F5A"/>
    <w:rsid w:val="00D22AC6"/>
    <w:rsid w:val="00D370BB"/>
    <w:rsid w:val="00D41049"/>
    <w:rsid w:val="00D45403"/>
    <w:rsid w:val="00D512E8"/>
    <w:rsid w:val="00D5614E"/>
    <w:rsid w:val="00D60E7B"/>
    <w:rsid w:val="00D6370C"/>
    <w:rsid w:val="00D6759C"/>
    <w:rsid w:val="00D741BF"/>
    <w:rsid w:val="00D83CFA"/>
    <w:rsid w:val="00D865FF"/>
    <w:rsid w:val="00D86E2F"/>
    <w:rsid w:val="00DA3861"/>
    <w:rsid w:val="00DB16C0"/>
    <w:rsid w:val="00DD4318"/>
    <w:rsid w:val="00DE0585"/>
    <w:rsid w:val="00DE2158"/>
    <w:rsid w:val="00DF1BFF"/>
    <w:rsid w:val="00DF2D80"/>
    <w:rsid w:val="00DF681E"/>
    <w:rsid w:val="00E00143"/>
    <w:rsid w:val="00E01220"/>
    <w:rsid w:val="00E0501F"/>
    <w:rsid w:val="00E23B8B"/>
    <w:rsid w:val="00E32D57"/>
    <w:rsid w:val="00E33D68"/>
    <w:rsid w:val="00E3728A"/>
    <w:rsid w:val="00E42E2F"/>
    <w:rsid w:val="00E570C0"/>
    <w:rsid w:val="00E70FDC"/>
    <w:rsid w:val="00E81C54"/>
    <w:rsid w:val="00E93664"/>
    <w:rsid w:val="00E954AD"/>
    <w:rsid w:val="00EA5728"/>
    <w:rsid w:val="00EB2AD9"/>
    <w:rsid w:val="00EC54A4"/>
    <w:rsid w:val="00ED2DB4"/>
    <w:rsid w:val="00ED5E69"/>
    <w:rsid w:val="00EF2480"/>
    <w:rsid w:val="00F051CA"/>
    <w:rsid w:val="00F15E7C"/>
    <w:rsid w:val="00F2310D"/>
    <w:rsid w:val="00F31B65"/>
    <w:rsid w:val="00F33929"/>
    <w:rsid w:val="00F467F0"/>
    <w:rsid w:val="00F62C76"/>
    <w:rsid w:val="00F640D7"/>
    <w:rsid w:val="00F70C2C"/>
    <w:rsid w:val="00F82346"/>
    <w:rsid w:val="00F872C3"/>
    <w:rsid w:val="00FA23F2"/>
    <w:rsid w:val="00FD0029"/>
    <w:rsid w:val="00FD4723"/>
    <w:rsid w:val="00FE794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C9BFD-343D-4C8E-AC00-D54B23C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7E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apple-style-span">
    <w:name w:val="apple-style-span"/>
    <w:basedOn w:val="Fuentedeprrafopredeter"/>
    <w:rsid w:val="005B5AF1"/>
  </w:style>
  <w:style w:type="paragraph" w:customStyle="1" w:styleId="Default">
    <w:name w:val="Default"/>
    <w:rsid w:val="005B5A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FF"/>
    <w:rPr>
      <w:sz w:val="22"/>
      <w:szCs w:val="22"/>
      <w:lang w:eastAsia="en-US"/>
    </w:rPr>
  </w:style>
  <w:style w:type="paragraph" w:styleId="NormalWeb">
    <w:name w:val="Normal (Web)"/>
    <w:basedOn w:val="Normal"/>
    <w:rsid w:val="00556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5566D3"/>
  </w:style>
  <w:style w:type="character" w:styleId="Hipervnculo">
    <w:name w:val="Hyperlink"/>
    <w:basedOn w:val="Fuentedeprrafopredeter"/>
    <w:uiPriority w:val="99"/>
    <w:unhideWhenUsed/>
    <w:rsid w:val="005566D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6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6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566D3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66D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66D3"/>
    <w:rPr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67003C"/>
    <w:rPr>
      <w:i/>
      <w:iCs/>
    </w:rPr>
  </w:style>
  <w:style w:type="character" w:customStyle="1" w:styleId="nw">
    <w:name w:val="nw"/>
    <w:basedOn w:val="Fuentedeprrafopredeter"/>
    <w:rsid w:val="0067003C"/>
  </w:style>
  <w:style w:type="character" w:customStyle="1" w:styleId="ff8">
    <w:name w:val="ff8"/>
    <w:basedOn w:val="Fuentedeprrafopredeter"/>
    <w:rsid w:val="0067003C"/>
  </w:style>
  <w:style w:type="character" w:styleId="Textoennegrita">
    <w:name w:val="Strong"/>
    <w:basedOn w:val="Fuentedeprrafopredeter"/>
    <w:qFormat/>
    <w:rsid w:val="005B7E5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B7E5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scritor">
    <w:name w:val="escritor"/>
    <w:basedOn w:val="Fuentedeprrafopredeter"/>
    <w:rsid w:val="005B7E5C"/>
  </w:style>
  <w:style w:type="character" w:customStyle="1" w:styleId="slug-pub-date">
    <w:name w:val="slug-pub-date"/>
    <w:basedOn w:val="Fuentedeprrafopredeter"/>
    <w:rsid w:val="005B7E5C"/>
  </w:style>
  <w:style w:type="character" w:customStyle="1" w:styleId="slug-vol">
    <w:name w:val="slug-vol"/>
    <w:basedOn w:val="Fuentedeprrafopredeter"/>
    <w:rsid w:val="005B7E5C"/>
  </w:style>
  <w:style w:type="character" w:customStyle="1" w:styleId="slug-issue">
    <w:name w:val="slug-issue"/>
    <w:basedOn w:val="Fuentedeprrafopredeter"/>
    <w:rsid w:val="005B7E5C"/>
  </w:style>
  <w:style w:type="character" w:customStyle="1" w:styleId="slug-pages">
    <w:name w:val="slug-pages"/>
    <w:basedOn w:val="Fuentedeprrafopredeter"/>
    <w:rsid w:val="005B7E5C"/>
  </w:style>
  <w:style w:type="character" w:styleId="CitaHTML">
    <w:name w:val="HTML Cite"/>
    <w:basedOn w:val="Fuentedeprrafopredeter"/>
    <w:uiPriority w:val="99"/>
    <w:semiHidden/>
    <w:unhideWhenUsed/>
    <w:rsid w:val="005B7E5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051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E91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A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442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852717"/>
    <w:rPr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rsid w:val="00852717"/>
    <w:rPr>
      <w:lang w:val="en-GB" w:eastAsia="en-US"/>
    </w:rPr>
  </w:style>
  <w:style w:type="character" w:customStyle="1" w:styleId="row22">
    <w:name w:val="row22"/>
    <w:basedOn w:val="Fuentedeprrafopredeter"/>
    <w:rsid w:val="00852717"/>
    <w:rPr>
      <w:b w:val="0"/>
      <w:bCs w:val="0"/>
      <w:sz w:val="22"/>
      <w:szCs w:val="22"/>
    </w:rPr>
  </w:style>
  <w:style w:type="character" w:styleId="Nmerodepgina">
    <w:name w:val="page number"/>
    <w:basedOn w:val="Fuentedeprrafopredeter"/>
    <w:uiPriority w:val="99"/>
    <w:unhideWhenUsed/>
    <w:rsid w:val="00A9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13D1-ACD8-4E5C-AA6D-F8FCE8DD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Task 1| Relational/Precarious Spaces</vt:lpstr>
    </vt:vector>
  </TitlesOfParts>
  <Company>Literature, Ethics and Globalization</Company>
  <LinksUpToDate>false</LinksUpToDate>
  <CharactersWithSpaces>6559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1| Relational/Precarious Spaces</dc:title>
  <dc:creator>Helena</dc:creator>
  <cp:lastModifiedBy>aragay</cp:lastModifiedBy>
  <cp:revision>137</cp:revision>
  <cp:lastPrinted>2011-06-15T10:27:00Z</cp:lastPrinted>
  <dcterms:created xsi:type="dcterms:W3CDTF">2016-01-02T12:21:00Z</dcterms:created>
  <dcterms:modified xsi:type="dcterms:W3CDTF">2016-04-10T15:56:00Z</dcterms:modified>
</cp:coreProperties>
</file>